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319" w:rsidRDefault="002C3319" w:rsidP="002C3319">
      <w:pPr>
        <w:pStyle w:val="3"/>
        <w:rPr>
          <w:color w:val="000000"/>
        </w:rPr>
      </w:pPr>
      <w:r>
        <w:rPr>
          <w:color w:val="000000"/>
        </w:rPr>
        <w:t>Титульний аркуш</w:t>
      </w:r>
    </w:p>
    <w:tbl>
      <w:tblPr>
        <w:tblW w:w="5000" w:type="pct"/>
        <w:tblLook w:val="04A0"/>
      </w:tblPr>
      <w:tblGrid>
        <w:gridCol w:w="10325"/>
      </w:tblGrid>
      <w:tr w:rsidR="002C3319" w:rsidTr="002C3319">
        <w:tc>
          <w:tcPr>
            <w:tcW w:w="0" w:type="auto"/>
            <w:tcMar>
              <w:top w:w="60" w:type="dxa"/>
              <w:left w:w="60" w:type="dxa"/>
              <w:bottom w:w="60" w:type="dxa"/>
              <w:right w:w="60" w:type="dxa"/>
            </w:tcMar>
            <w:vAlign w:val="center"/>
            <w:hideMark/>
          </w:tcPr>
          <w:p w:rsidR="002C3319" w:rsidRDefault="002C3319">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2C3319" w:rsidRDefault="002C3319" w:rsidP="002C3319">
      <w:pPr>
        <w:rPr>
          <w:rFonts w:eastAsia="Times New Roman"/>
          <w:vanish/>
          <w:color w:val="000000"/>
        </w:rPr>
      </w:pPr>
    </w:p>
    <w:tbl>
      <w:tblPr>
        <w:tblW w:w="5000" w:type="pct"/>
        <w:tblLook w:val="04A0"/>
      </w:tblPr>
      <w:tblGrid>
        <w:gridCol w:w="2250"/>
        <w:gridCol w:w="659"/>
        <w:gridCol w:w="3007"/>
        <w:gridCol w:w="659"/>
        <w:gridCol w:w="3750"/>
      </w:tblGrid>
      <w:tr w:rsidR="002C3319" w:rsidTr="002C3319">
        <w:tc>
          <w:tcPr>
            <w:tcW w:w="2250" w:type="dxa"/>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Директор</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c>
          <w:tcPr>
            <w:tcW w:w="3750" w:type="dxa"/>
            <w:tcMar>
              <w:top w:w="60" w:type="dxa"/>
              <w:left w:w="60" w:type="dxa"/>
              <w:bottom w:w="60" w:type="dxa"/>
              <w:right w:w="60" w:type="dxa"/>
            </w:tcMar>
            <w:vAlign w:val="bottom"/>
            <w:hideMark/>
          </w:tcPr>
          <w:p w:rsidR="002C3319" w:rsidRDefault="002C3319">
            <w:pPr>
              <w:jc w:val="center"/>
              <w:rPr>
                <w:rFonts w:eastAsia="Times New Roman"/>
                <w:color w:val="000000"/>
              </w:rPr>
            </w:pPr>
            <w:r>
              <w:rPr>
                <w:rFonts w:eastAsia="Times New Roman"/>
                <w:color w:val="000000"/>
              </w:rPr>
              <w:t>Лакатош Iгор Васильович</w:t>
            </w:r>
          </w:p>
        </w:tc>
      </w:tr>
      <w:tr w:rsidR="002C3319" w:rsidTr="002C3319">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Style w:val="small-text1"/>
                <w:rFonts w:eastAsia="Times New Roman"/>
                <w:color w:val="000000"/>
              </w:rPr>
              <w:t>(посада)</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Style w:val="small-text1"/>
                <w:rFonts w:eastAsia="Times New Roman"/>
                <w:color w:val="000000"/>
              </w:rPr>
              <w:t>(підпис)</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Style w:val="small-text1"/>
                <w:rFonts w:eastAsia="Times New Roman"/>
                <w:color w:val="000000"/>
              </w:rPr>
              <w:t>(прізвище та ініціали керівника)</w:t>
            </w:r>
          </w:p>
        </w:tc>
      </w:tr>
      <w:tr w:rsidR="002C3319" w:rsidTr="002C3319">
        <w:tc>
          <w:tcPr>
            <w:tcW w:w="0" w:type="auto"/>
            <w:gridSpan w:val="4"/>
            <w:vMerge w:val="restart"/>
            <w:tcMar>
              <w:top w:w="30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М.П.</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30.04.2015</w:t>
            </w:r>
          </w:p>
        </w:tc>
      </w:tr>
      <w:tr w:rsidR="002C3319" w:rsidTr="002C3319">
        <w:tc>
          <w:tcPr>
            <w:tcW w:w="0" w:type="auto"/>
            <w:gridSpan w:val="4"/>
            <w:vMerge/>
            <w:vAlign w:val="center"/>
            <w:hideMark/>
          </w:tcPr>
          <w:p w:rsidR="002C3319" w:rsidRDefault="002C3319">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Style w:val="small-text1"/>
                <w:rFonts w:eastAsia="Times New Roman"/>
                <w:color w:val="000000"/>
              </w:rPr>
              <w:t>(дата)</w:t>
            </w:r>
          </w:p>
        </w:tc>
      </w:tr>
    </w:tbl>
    <w:p w:rsidR="002C3319" w:rsidRDefault="002C3319" w:rsidP="002C3319">
      <w:pPr>
        <w:rPr>
          <w:rFonts w:eastAsia="Times New Roman"/>
          <w:color w:val="000000"/>
        </w:rPr>
      </w:pPr>
    </w:p>
    <w:p w:rsidR="002C3319" w:rsidRDefault="002C3319" w:rsidP="002C3319">
      <w:pPr>
        <w:pStyle w:val="3"/>
        <w:rPr>
          <w:color w:val="000000"/>
        </w:rPr>
      </w:pPr>
      <w:r>
        <w:rPr>
          <w:color w:val="000000"/>
        </w:rPr>
        <w:t>Річна інформація емітента цінних паперів</w:t>
      </w:r>
      <w:r>
        <w:rPr>
          <w:color w:val="000000"/>
        </w:rPr>
        <w:br/>
        <w:t xml:space="preserve">за 2014 рік </w:t>
      </w:r>
    </w:p>
    <w:p w:rsidR="002C3319" w:rsidRDefault="002C3319" w:rsidP="002C3319">
      <w:pPr>
        <w:pStyle w:val="3"/>
        <w:rPr>
          <w:color w:val="000000"/>
        </w:rPr>
      </w:pPr>
      <w:r>
        <w:rPr>
          <w:color w:val="000000"/>
        </w:rPr>
        <w:t>I. Загальні відомості</w:t>
      </w:r>
    </w:p>
    <w:tbl>
      <w:tblPr>
        <w:tblW w:w="5000" w:type="pct"/>
        <w:tblLook w:val="04A0"/>
      </w:tblPr>
      <w:tblGrid>
        <w:gridCol w:w="10325"/>
      </w:tblGrid>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1. Повне найменування емітента</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Публiчне акцiонерне товариство"Гроно-Текс"</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2. Організаційно-правова форма</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xml:space="preserve">Акціонерне товариство </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3. Код за ЄДРПОУ</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00309134</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4. Місцезнаходження</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Закарпатська , Виноградiвський, 90300, м.Виноградiв, вул.Миру,13</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5. Міжміський код, телефон та факс</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(03143) 2-18-09 (03143)2-23-06</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6. Електронна поштова адреса</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mail@grono.com.ua</w:t>
            </w:r>
          </w:p>
        </w:tc>
      </w:tr>
    </w:tbl>
    <w:p w:rsidR="002C3319" w:rsidRDefault="002C3319" w:rsidP="002C3319">
      <w:pPr>
        <w:pStyle w:val="3"/>
        <w:rPr>
          <w:color w:val="000000"/>
        </w:rPr>
      </w:pPr>
      <w:r>
        <w:rPr>
          <w:color w:val="000000"/>
        </w:rPr>
        <w:t>II. Дані про дату та місце оприлюднення річної інформації</w:t>
      </w:r>
    </w:p>
    <w:tbl>
      <w:tblPr>
        <w:tblW w:w="5000" w:type="pct"/>
        <w:tblLook w:val="04A0"/>
      </w:tblPr>
      <w:tblGrid>
        <w:gridCol w:w="9097"/>
        <w:gridCol w:w="1228"/>
      </w:tblGrid>
      <w:tr w:rsidR="002C3319" w:rsidTr="002C3319">
        <w:tc>
          <w:tcPr>
            <w:tcW w:w="0" w:type="auto"/>
            <w:tcMar>
              <w:top w:w="60" w:type="dxa"/>
              <w:left w:w="60" w:type="dxa"/>
              <w:bottom w:w="60" w:type="dxa"/>
              <w:right w:w="60" w:type="dxa"/>
            </w:tcMar>
            <w:vAlign w:val="bottom"/>
            <w:hideMark/>
          </w:tcPr>
          <w:p w:rsidR="002C3319" w:rsidRDefault="002C3319">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Mar>
              <w:top w:w="60" w:type="dxa"/>
              <w:left w:w="60" w:type="dxa"/>
              <w:bottom w:w="60" w:type="dxa"/>
              <w:right w:w="60" w:type="dxa"/>
            </w:tcMar>
            <w:vAlign w:val="bottom"/>
            <w:hideMark/>
          </w:tcPr>
          <w:p w:rsidR="002C3319" w:rsidRDefault="002C3319">
            <w:pPr>
              <w:jc w:val="center"/>
              <w:rPr>
                <w:rFonts w:eastAsia="Times New Roman"/>
                <w:color w:val="000000"/>
              </w:rPr>
            </w:pPr>
            <w:r>
              <w:rPr>
                <w:rFonts w:eastAsia="Times New Roman"/>
                <w:color w:val="000000"/>
              </w:rPr>
              <w:t>20.04.2015</w:t>
            </w:r>
          </w:p>
        </w:tc>
      </w:tr>
      <w:tr w:rsidR="002C3319" w:rsidTr="002C3319">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Style w:val="small-text1"/>
                <w:rFonts w:eastAsia="Times New Roman"/>
                <w:color w:val="000000"/>
              </w:rPr>
              <w:t>(дата)</w:t>
            </w:r>
          </w:p>
        </w:tc>
      </w:tr>
    </w:tbl>
    <w:p w:rsidR="002C3319" w:rsidRDefault="002C3319" w:rsidP="002C3319">
      <w:pPr>
        <w:rPr>
          <w:rFonts w:eastAsia="Times New Roman"/>
          <w:vanish/>
          <w:color w:val="000000"/>
        </w:rPr>
      </w:pPr>
    </w:p>
    <w:tbl>
      <w:tblPr>
        <w:tblW w:w="5000" w:type="pct"/>
        <w:tblLook w:val="04A0"/>
      </w:tblPr>
      <w:tblGrid>
        <w:gridCol w:w="3767"/>
        <w:gridCol w:w="5168"/>
        <w:gridCol w:w="181"/>
        <w:gridCol w:w="1209"/>
      </w:tblGrid>
      <w:tr w:rsidR="002C3319" w:rsidTr="002C3319">
        <w:tc>
          <w:tcPr>
            <w:tcW w:w="0" w:type="auto"/>
            <w:tcMar>
              <w:top w:w="60" w:type="dxa"/>
              <w:left w:w="60" w:type="dxa"/>
              <w:bottom w:w="60" w:type="dxa"/>
              <w:right w:w="60" w:type="dxa"/>
            </w:tcMar>
            <w:vAlign w:val="bottom"/>
            <w:hideMark/>
          </w:tcPr>
          <w:p w:rsidR="002C3319" w:rsidRDefault="002C3319">
            <w:pPr>
              <w:rPr>
                <w:rFonts w:eastAsia="Times New Roman"/>
                <w:color w:val="000000"/>
              </w:rPr>
            </w:pPr>
            <w:r>
              <w:rPr>
                <w:rFonts w:eastAsia="Times New Roman"/>
                <w:color w:val="000000"/>
              </w:rPr>
              <w:t>2. Річна інформація опублікована у</w:t>
            </w:r>
          </w:p>
        </w:tc>
        <w:tc>
          <w:tcPr>
            <w:tcW w:w="0" w:type="auto"/>
            <w:tcMar>
              <w:top w:w="60" w:type="dxa"/>
              <w:left w:w="60" w:type="dxa"/>
              <w:bottom w:w="60" w:type="dxa"/>
              <w:right w:w="60" w:type="dxa"/>
            </w:tcMar>
            <w:vAlign w:val="bottom"/>
            <w:hideMark/>
          </w:tcPr>
          <w:p w:rsidR="002C3319" w:rsidRDefault="002C3319">
            <w:pPr>
              <w:jc w:val="center"/>
              <w:rPr>
                <w:rFonts w:eastAsia="Times New Roman"/>
                <w:color w:val="000000"/>
              </w:rPr>
            </w:pPr>
            <w:r>
              <w:rPr>
                <w:rFonts w:eastAsia="Times New Roman"/>
                <w:color w:val="000000"/>
              </w:rPr>
              <w:t>Бюлетень " Цiннi папери України" №76</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bottom"/>
            <w:hideMark/>
          </w:tcPr>
          <w:p w:rsidR="002C3319" w:rsidRDefault="002C3319">
            <w:pPr>
              <w:jc w:val="center"/>
              <w:rPr>
                <w:rFonts w:eastAsia="Times New Roman"/>
                <w:color w:val="000000"/>
              </w:rPr>
            </w:pPr>
            <w:r>
              <w:rPr>
                <w:rFonts w:eastAsia="Times New Roman"/>
                <w:color w:val="000000"/>
              </w:rPr>
              <w:t>28.04.2015</w:t>
            </w:r>
          </w:p>
        </w:tc>
      </w:tr>
      <w:tr w:rsidR="002C3319" w:rsidTr="002C3319">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Style w:val="small-text1"/>
                <w:rFonts w:eastAsia="Times New Roman"/>
                <w:color w:val="000000"/>
              </w:rPr>
              <w:t>(дата)</w:t>
            </w:r>
          </w:p>
        </w:tc>
      </w:tr>
    </w:tbl>
    <w:p w:rsidR="002C3319" w:rsidRDefault="002C3319" w:rsidP="002C3319">
      <w:pPr>
        <w:rPr>
          <w:rFonts w:eastAsia="Times New Roman"/>
          <w:vanish/>
          <w:color w:val="000000"/>
        </w:rPr>
      </w:pPr>
    </w:p>
    <w:tbl>
      <w:tblPr>
        <w:tblW w:w="5000" w:type="pct"/>
        <w:tblLook w:val="04A0"/>
      </w:tblPr>
      <w:tblGrid>
        <w:gridCol w:w="4736"/>
        <w:gridCol w:w="2571"/>
        <w:gridCol w:w="1818"/>
        <w:gridCol w:w="1200"/>
      </w:tblGrid>
      <w:tr w:rsidR="002C3319" w:rsidTr="002C3319">
        <w:tc>
          <w:tcPr>
            <w:tcW w:w="0" w:type="auto"/>
            <w:tcMar>
              <w:top w:w="60" w:type="dxa"/>
              <w:left w:w="60" w:type="dxa"/>
              <w:bottom w:w="60" w:type="dxa"/>
              <w:right w:w="60" w:type="dxa"/>
            </w:tcMar>
            <w:vAlign w:val="bottom"/>
            <w:hideMark/>
          </w:tcPr>
          <w:p w:rsidR="002C3319" w:rsidRDefault="002C3319">
            <w:pPr>
              <w:rPr>
                <w:rFonts w:eastAsia="Times New Roman"/>
                <w:color w:val="000000"/>
              </w:rPr>
            </w:pPr>
            <w:r>
              <w:rPr>
                <w:rFonts w:eastAsia="Times New Roman"/>
                <w:color w:val="000000"/>
              </w:rPr>
              <w:t>3. Річна інформація розміщена на власній сторінці</w:t>
            </w:r>
          </w:p>
        </w:tc>
        <w:tc>
          <w:tcPr>
            <w:tcW w:w="0" w:type="auto"/>
            <w:tcMar>
              <w:top w:w="60" w:type="dxa"/>
              <w:left w:w="60" w:type="dxa"/>
              <w:bottom w:w="60" w:type="dxa"/>
              <w:right w:w="60" w:type="dxa"/>
            </w:tcMar>
            <w:vAlign w:val="bottom"/>
            <w:hideMark/>
          </w:tcPr>
          <w:p w:rsidR="002C3319" w:rsidRDefault="002C3319">
            <w:pPr>
              <w:jc w:val="center"/>
              <w:rPr>
                <w:rFonts w:eastAsia="Times New Roman"/>
                <w:color w:val="000000"/>
              </w:rPr>
            </w:pPr>
            <w:r>
              <w:rPr>
                <w:rFonts w:eastAsia="Times New Roman"/>
                <w:color w:val="000000"/>
              </w:rPr>
              <w:t>grono-teks.emitents.net.ua</w:t>
            </w:r>
          </w:p>
        </w:tc>
        <w:tc>
          <w:tcPr>
            <w:tcW w:w="0" w:type="auto"/>
            <w:tcMar>
              <w:top w:w="60" w:type="dxa"/>
              <w:left w:w="60" w:type="dxa"/>
              <w:bottom w:w="60" w:type="dxa"/>
              <w:right w:w="60" w:type="dxa"/>
            </w:tcMar>
            <w:vAlign w:val="bottom"/>
            <w:hideMark/>
          </w:tcPr>
          <w:p w:rsidR="002C3319" w:rsidRDefault="002C3319">
            <w:pPr>
              <w:jc w:val="center"/>
              <w:rPr>
                <w:rFonts w:eastAsia="Times New Roman"/>
                <w:color w:val="000000"/>
              </w:rPr>
            </w:pPr>
            <w:r>
              <w:rPr>
                <w:rFonts w:eastAsia="Times New Roman"/>
                <w:color w:val="000000"/>
              </w:rPr>
              <w:t>в мережі Інтернет</w:t>
            </w:r>
          </w:p>
        </w:tc>
        <w:tc>
          <w:tcPr>
            <w:tcW w:w="0" w:type="auto"/>
            <w:tcMar>
              <w:top w:w="60" w:type="dxa"/>
              <w:left w:w="60" w:type="dxa"/>
              <w:bottom w:w="60" w:type="dxa"/>
              <w:right w:w="60" w:type="dxa"/>
            </w:tcMar>
            <w:vAlign w:val="bottom"/>
            <w:hideMark/>
          </w:tcPr>
          <w:p w:rsidR="002C3319" w:rsidRDefault="002C3319">
            <w:pPr>
              <w:jc w:val="center"/>
              <w:rPr>
                <w:rFonts w:eastAsia="Times New Roman"/>
                <w:color w:val="000000"/>
              </w:rPr>
            </w:pPr>
            <w:r>
              <w:rPr>
                <w:rFonts w:eastAsia="Times New Roman"/>
                <w:color w:val="000000"/>
              </w:rPr>
              <w:t>30.04.2015</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Style w:val="small-text1"/>
                <w:rFonts w:eastAsia="Times New Roman"/>
                <w:color w:val="000000"/>
              </w:rPr>
              <w:t>(адреса сторінки)</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Style w:val="small-text1"/>
                <w:rFonts w:eastAsia="Times New Roman"/>
                <w:color w:val="000000"/>
              </w:rPr>
              <w:t>(дата)</w:t>
            </w:r>
          </w:p>
        </w:tc>
      </w:tr>
    </w:tbl>
    <w:p w:rsidR="002C3319" w:rsidRDefault="002C3319" w:rsidP="002C3319">
      <w:pPr>
        <w:pStyle w:val="3"/>
        <w:rPr>
          <w:color w:val="000000"/>
        </w:rPr>
      </w:pPr>
      <w:r>
        <w:rPr>
          <w:b/>
          <w:bCs/>
          <w:color w:val="000000"/>
          <w:sz w:val="28"/>
          <w:szCs w:val="28"/>
        </w:rPr>
        <w:br w:type="page"/>
      </w:r>
      <w:r>
        <w:rPr>
          <w:color w:val="000000"/>
        </w:rPr>
        <w:lastRenderedPageBreak/>
        <w:t>Зміст</w:t>
      </w:r>
    </w:p>
    <w:tbl>
      <w:tblPr>
        <w:tblW w:w="5000" w:type="pct"/>
        <w:tblLook w:val="04A0"/>
      </w:tblPr>
      <w:tblGrid>
        <w:gridCol w:w="2064"/>
        <w:gridCol w:w="7228"/>
        <w:gridCol w:w="1033"/>
      </w:tblGrid>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1. Основні відомості про емітента</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5. Інформація про рейтингове агентство</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3"/>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7. Інформація про посадових осіб емітента:</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9. Інформація про загальні збори акціонерів</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10. Інформація про дивіденди</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3"/>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12. Відомості про цінні папери емітента:</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1) інформація про випуски акцій емітента</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2) інформація про облігації емітента</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4) інформація про похідні цінні папери</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13. Опис бізнесу</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3"/>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3) інформація про зобов'язання емітента</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3"/>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w:t>
            </w:r>
            <w:r>
              <w:rPr>
                <w:rFonts w:eastAsia="Times New Roman"/>
                <w:b/>
                <w:bCs/>
                <w:color w:val="000000"/>
              </w:rPr>
              <w:lastRenderedPageBreak/>
              <w:t>відбулися протягом звітного періоду</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21. Інформація про випуски іпотечних сертифікатів</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23. Основні відомості про ФОН</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24. Інформація про випуски сертифікатів ФОН</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26. Розрахунок вартості чистих активів ФОН</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27. Правила ФОН</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28. Відомості про аудиторський висновок (звіт)</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29. Текст аудиторського висновку (звіту)</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30. Річна фінансова звітність</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X</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33. Примітки</w:t>
            </w:r>
          </w:p>
        </w:tc>
        <w:tc>
          <w:tcPr>
            <w:tcW w:w="4000" w:type="pct"/>
            <w:gridSpan w:val="2"/>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1 Товариство не входить до будь яких об"єднань пiдприємств.</w:t>
            </w:r>
            <w:r>
              <w:rPr>
                <w:rFonts w:eastAsia="Times New Roman"/>
                <w:color w:val="000000"/>
              </w:rPr>
              <w:br/>
              <w:t xml:space="preserve">2.Лiцензiї (дозволи) пiдприємство у звiтному роцi не отримувало </w:t>
            </w:r>
            <w:r>
              <w:rPr>
                <w:rFonts w:eastAsia="Times New Roman"/>
                <w:color w:val="000000"/>
              </w:rPr>
              <w:br/>
              <w:t>3 Послугами рейтингового агенства Товариство не користувалося.</w:t>
            </w:r>
            <w:r>
              <w:rPr>
                <w:rFonts w:eastAsia="Times New Roman"/>
                <w:color w:val="000000"/>
              </w:rPr>
              <w:br/>
              <w:t>4.Товариство не входить до будь яких об"єднань пiдприємств.</w:t>
            </w:r>
            <w:r>
              <w:rPr>
                <w:rFonts w:eastAsia="Times New Roman"/>
                <w:color w:val="000000"/>
              </w:rPr>
              <w:br/>
              <w:t>5.Емiтент в створеннi юридичних осiб –участi не приймав</w:t>
            </w:r>
            <w:r>
              <w:rPr>
                <w:rFonts w:eastAsia="Times New Roman"/>
                <w:color w:val="000000"/>
              </w:rPr>
              <w:br/>
              <w:t>6.Корпоративний секретар вiдсутнiй.</w:t>
            </w:r>
            <w:r>
              <w:rPr>
                <w:rFonts w:eastAsia="Times New Roman"/>
                <w:color w:val="000000"/>
              </w:rPr>
              <w:br/>
              <w:t xml:space="preserve">7.Дивiденди у звiтному роцi не нараховувалися та не виплачувалися. </w:t>
            </w:r>
            <w:r>
              <w:rPr>
                <w:rFonts w:eastAsia="Times New Roman"/>
                <w:color w:val="000000"/>
              </w:rPr>
              <w:br/>
              <w:t>8.Послугами третiх осiб пiдприємство не користувалося.</w:t>
            </w:r>
            <w:r>
              <w:rPr>
                <w:rFonts w:eastAsia="Times New Roman"/>
                <w:color w:val="000000"/>
              </w:rPr>
              <w:br/>
              <w:t>9.Товариство не здiйснювало емiсiю:</w:t>
            </w:r>
            <w:r>
              <w:rPr>
                <w:rFonts w:eastAsia="Times New Roman"/>
                <w:color w:val="000000"/>
              </w:rPr>
              <w:br/>
              <w:t xml:space="preserve">процентних, дисконтних, цiльових (безпроцентних) облiгацiй, похiдних та iнших цiнних паперiв, сертифiкатiв ФОН та не має зобов'язань за цими цiнними паперами та фiнансовими iнвестицiями в корпоративнi права. </w:t>
            </w:r>
            <w:r>
              <w:rPr>
                <w:rFonts w:eastAsia="Times New Roman"/>
                <w:color w:val="000000"/>
              </w:rPr>
              <w:br/>
              <w:t xml:space="preserve">10.Товариство протягом звiтного перiоду не викупало власнi акцiї. </w:t>
            </w:r>
            <w:r>
              <w:rPr>
                <w:rFonts w:eastAsia="Times New Roman"/>
                <w:color w:val="000000"/>
              </w:rPr>
              <w:br/>
              <w:t>11.Кодекс (принципи) корпоративного управлiння на товариствi не прийнятi.</w:t>
            </w:r>
            <w:r>
              <w:rPr>
                <w:rFonts w:eastAsia="Times New Roman"/>
                <w:color w:val="000000"/>
              </w:rPr>
              <w:br/>
              <w:t>12 Звiт про стан об'єкта нерухомостi:</w:t>
            </w:r>
            <w:r>
              <w:rPr>
                <w:rFonts w:eastAsia="Times New Roman"/>
                <w:color w:val="000000"/>
              </w:rPr>
              <w:br/>
              <w:t>(не випускались цiльовi облiгацiї, виконання зобов'язань за якими забезпечене об'єктами нерухомостi).</w:t>
            </w:r>
          </w:p>
        </w:tc>
      </w:tr>
    </w:tbl>
    <w:p w:rsidR="002C3319" w:rsidRDefault="002C3319" w:rsidP="002C3319">
      <w:pPr>
        <w:pStyle w:val="3"/>
        <w:rPr>
          <w:color w:val="000000"/>
        </w:rPr>
      </w:pPr>
      <w:r>
        <w:rPr>
          <w:b/>
          <w:bCs/>
          <w:color w:val="000000"/>
          <w:sz w:val="28"/>
          <w:szCs w:val="28"/>
        </w:rPr>
        <w:br w:type="page"/>
      </w:r>
      <w:r>
        <w:rPr>
          <w:color w:val="000000"/>
        </w:rPr>
        <w:lastRenderedPageBreak/>
        <w:t>III. Основні відомості про емітента</w:t>
      </w:r>
    </w:p>
    <w:tbl>
      <w:tblPr>
        <w:tblW w:w="5000" w:type="pct"/>
        <w:tblLook w:val="04A0"/>
      </w:tblPr>
      <w:tblGrid>
        <w:gridCol w:w="10325"/>
      </w:tblGrid>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 Повне найменування</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Публiчне акцiонерне товариство"Гроно-Текс"</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ААБ №153662</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 Дата проведення державної реєстрації</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05.05.2000</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4. Територія (область)</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xml:space="preserve">Закарпатська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5. Статутний капітал (грн)</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12680045.15</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6. Відсоток акцій у статутному капіталі, що належить державі</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0</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0</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8. Середня кількість працівників (осіб)</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544</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14.13 Виробництво iншого верхнього одягу</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68.20 Надання в оренду й експлуатацiю майна</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Дв Дв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10. Органи управління підприємства</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Органи управлiння товариства розкрито в роздiлi корпоративне управлiння.</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11. Банки, що обслуговують емітента: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Закарпатське РУ ПАТ КБ”Приватбанк”</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2) МФО банку</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312378</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 поточний рахунок</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26003060446647</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Закарпатське РУ ПАТ КБ»Приватбанк”</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5) МФО банку</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312378</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6) поточний рахунок</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lastRenderedPageBreak/>
              <w:t>26001053905799</w:t>
            </w:r>
          </w:p>
        </w:tc>
      </w:tr>
    </w:tbl>
    <w:p w:rsidR="002C3319" w:rsidRDefault="002C3319" w:rsidP="002C3319">
      <w:pPr>
        <w:pStyle w:val="3"/>
        <w:rPr>
          <w:color w:val="000000"/>
        </w:rPr>
      </w:pPr>
      <w:r>
        <w:rPr>
          <w:color w:val="000000"/>
        </w:rPr>
        <w:t>IV. Інформація про засновників та/або учасників емітента та кількість і вартість акцій (розміру часток, паїв)</w:t>
      </w:r>
    </w:p>
    <w:tbl>
      <w:tblPr>
        <w:tblW w:w="5000" w:type="pct"/>
        <w:tblLook w:val="04A0"/>
      </w:tblPr>
      <w:tblGrid>
        <w:gridCol w:w="2623"/>
        <w:gridCol w:w="1991"/>
        <w:gridCol w:w="2434"/>
        <w:gridCol w:w="3277"/>
      </w:tblGrid>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Регiональне вiддiлення ФДМУ по Закарпатськiй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22111310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88000Україна м.Ужгород вул.Собранецька,60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2C3319" w:rsidTr="002C3319">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r>
    </w:tbl>
    <w:p w:rsidR="002C3319" w:rsidRDefault="002C3319" w:rsidP="002C3319">
      <w:pPr>
        <w:pStyle w:val="3"/>
        <w:rPr>
          <w:color w:val="000000"/>
        </w:rPr>
      </w:pPr>
      <w:r>
        <w:rPr>
          <w:color w:val="000000"/>
        </w:rPr>
        <w:t>V. Інформація про посадових осіб емітента</w:t>
      </w:r>
    </w:p>
    <w:p w:rsidR="002C3319" w:rsidRDefault="002C3319" w:rsidP="002C3319">
      <w:pPr>
        <w:pStyle w:val="4"/>
        <w:rPr>
          <w:color w:val="000000"/>
        </w:rPr>
      </w:pPr>
      <w:r>
        <w:rPr>
          <w:color w:val="000000"/>
        </w:rPr>
        <w:t>6.1. Інформація щодо освіти та стажу роботи посадових осіб емітента</w:t>
      </w:r>
    </w:p>
    <w:tbl>
      <w:tblPr>
        <w:tblW w:w="5000" w:type="pct"/>
        <w:tblLook w:val="04A0"/>
      </w:tblPr>
      <w:tblGrid>
        <w:gridCol w:w="10325"/>
      </w:tblGrid>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 посада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Директор</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Лакатош Iгор Васильович</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asciiTheme="minorHAnsi" w:hAnsiTheme="minorHAnsi" w:cstheme="minorBidi"/>
                <w:sz w:val="22"/>
                <w:szCs w:val="22"/>
              </w:rPr>
            </w:pP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4) рік народження**</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1978</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5) освіта**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вища, Мукачiвський технологiчний iнститут</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6) стаж роботи (років)**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17</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7) найменування підприємства та попередня посада, яку займав**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Заст.голови правлiння, голова правлiння ВАТ ВВТШО "Гроно"</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31.10.2014 5 рокiв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9) Опис</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 xml:space="preserve">Згiдно з рiшеннням засiдання Наглядової Ради (Протокол №5 вiд 31.10.2014р.), обрано на посаду директора Товариства – Лакатош Iгоря Васильовича строком на 5 рокiв. </w:t>
            </w:r>
            <w:r>
              <w:rPr>
                <w:rFonts w:eastAsia="Times New Roman"/>
                <w:color w:val="000000"/>
              </w:rPr>
              <w:br/>
              <w:t>Директор без довiреностi представляє iнтереси Товариства та вчиняє вiд його iменi юридичнi дiї в межах повноважень визначених Статутом, Положенням про Виконавчий орган Товариства, трудовим договором (контрактом), Законодавством України, рiшеннями, що приймаються загальними зборами акцiонерiв Товариства i Наглядовою радою Товариства.</w:t>
            </w:r>
            <w:r>
              <w:rPr>
                <w:rFonts w:eastAsia="Times New Roman"/>
                <w:color w:val="000000"/>
              </w:rPr>
              <w:br/>
              <w:t xml:space="preserve">Директор здiйснює керiвництво поточною дiяльнiстю Товариства, вiдповiдає за реалiзацiю цiлей, стратегiї та полiтики Товариства. </w:t>
            </w:r>
            <w:r>
              <w:rPr>
                <w:rFonts w:eastAsia="Times New Roman"/>
                <w:color w:val="000000"/>
              </w:rPr>
              <w:br/>
              <w:t>Права i обов'язки визначенi Статутом Товариства та iншими нормативними документами.</w:t>
            </w:r>
            <w:r>
              <w:rPr>
                <w:rFonts w:eastAsia="Times New Roman"/>
                <w:color w:val="000000"/>
              </w:rPr>
              <w:br/>
              <w:t>Загальний стаж роботи понад 17 рокiв, попереднi посади: заступник голови правлiння ВАТ ВВТШО "Гроно", голова правлiння ВАТ ВВТШО "Гроно", з 12.10.2011р. по 31.10.2014р. директор ПАТ «Гроно-Текс».</w:t>
            </w:r>
            <w:r>
              <w:rPr>
                <w:rFonts w:eastAsia="Times New Roman"/>
                <w:color w:val="000000"/>
              </w:rPr>
              <w:br/>
            </w:r>
            <w:r>
              <w:rPr>
                <w:rFonts w:eastAsia="Times New Roman"/>
                <w:color w:val="000000"/>
              </w:rPr>
              <w:lastRenderedPageBreak/>
              <w:t>Директор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Оплата згiдно контракту.</w:t>
            </w:r>
            <w:r>
              <w:rPr>
                <w:rFonts w:eastAsia="Times New Roman"/>
                <w:color w:val="000000"/>
              </w:rPr>
              <w:br/>
              <w:t>Iнша винагорода за звiтний перiод не виплачувалась в т.ч. i в натуральнiй формi.</w:t>
            </w:r>
            <w:r>
              <w:rPr>
                <w:rFonts w:eastAsia="Times New Roman"/>
                <w:color w:val="000000"/>
              </w:rPr>
              <w:br/>
              <w:t xml:space="preserve">Особа не обiймає посад на будь-яких iнших пiдприємствах. </w:t>
            </w:r>
            <w:r>
              <w:rPr>
                <w:rFonts w:eastAsia="Times New Roman"/>
                <w:color w:val="000000"/>
              </w:rPr>
              <w:br/>
              <w:t>Непогашеної судимостi за корисливi та службовi злочини не має.</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 посада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Головний бухгалтер</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Боршош Надiя Iванiвна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asciiTheme="minorHAnsi" w:hAnsiTheme="minorHAnsi" w:cstheme="minorBidi"/>
                <w:sz w:val="22"/>
                <w:szCs w:val="22"/>
              </w:rPr>
            </w:pP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4) рік народження**</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1960</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5) освіта**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Вища Ужгородський Державний Унiверситет</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6) стаж роботи (років)**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28</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7) найменування підприємства та попередня посада, яку займав**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Заст.головного бухгалтера ВВТШО "Гроно"</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01.07.2006 на невизначений час</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9) Опис</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 xml:space="preserve">Повноваження та обов'язки головного бухгалтера згiдно з посадовою iнструкцiєю: </w:t>
            </w:r>
            <w:r>
              <w:rPr>
                <w:rFonts w:eastAsia="Times New Roman"/>
                <w:color w:val="000000"/>
              </w:rPr>
              <w:br/>
              <w:t xml:space="preserve">1) забезпечення ведення бухгалтерського облiку, дотримуючись єдиних методологiчних принципiв, встановлених Законом України "Про бухгалтерський облiк та фiнансову звiтнiсть в Українi"; </w:t>
            </w:r>
            <w:r>
              <w:rPr>
                <w:rFonts w:eastAsia="Times New Roman"/>
                <w:color w:val="000000"/>
              </w:rPr>
              <w:br/>
              <w:t xml:space="preserve">2) забезпечення ведення податкового облiку у вiдповiдностi з вимогами Законiв України; 3) органiзацiя контролю за вiдображенням на рахунках бухгалтерського облiку всiх господарських операцiй; </w:t>
            </w:r>
            <w:r>
              <w:rPr>
                <w:rFonts w:eastAsia="Times New Roman"/>
                <w:color w:val="000000"/>
              </w:rPr>
              <w:br/>
              <w:t>4) забезпечення складання на основi даних бухгалтерського облiку фiнансової звiтностi пiдприємства, її пiдписання i надання користувачам.</w:t>
            </w:r>
            <w:r>
              <w:rPr>
                <w:rFonts w:eastAsia="Times New Roman"/>
                <w:color w:val="000000"/>
              </w:rPr>
              <w:br/>
              <w:t>Головний бухгалтер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Винагорода за посаду головного бухгалтера виплачена згiдно штатного розпису, в натуральнiй формi винагороду не отримувала.</w:t>
            </w:r>
            <w:r>
              <w:rPr>
                <w:rFonts w:eastAsia="Times New Roman"/>
                <w:color w:val="000000"/>
              </w:rPr>
              <w:br/>
              <w:t>Попереднi посади: Заступник Головного бухгалтера ВВТШО"Гроно", головний бухгалтер ВАТ ВВТШО "Гроно".</w:t>
            </w:r>
            <w:r>
              <w:rPr>
                <w:rFonts w:eastAsia="Times New Roman"/>
                <w:color w:val="000000"/>
              </w:rPr>
              <w:br/>
              <w:t>Загальний стаж роботи понад 28 р.</w:t>
            </w:r>
            <w:r>
              <w:rPr>
                <w:rFonts w:eastAsia="Times New Roman"/>
                <w:color w:val="000000"/>
              </w:rPr>
              <w:br/>
              <w:t>Непогашеної судимостi за корисливi та службовi злочини не має.</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w:t>
            </w:r>
            <w:r>
              <w:rPr>
                <w:rFonts w:eastAsia="Times New Roman"/>
                <w:color w:val="000000"/>
                <w:sz w:val="20"/>
                <w:szCs w:val="20"/>
              </w:rPr>
              <w:lastRenderedPageBreak/>
              <w:t xml:space="preserve">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lastRenderedPageBreak/>
              <w:t>1) посада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Голова Наглядової ради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Ян Мiхрiна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Словаччина,м.Прешов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4) рік народження**</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1956</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5) освіта**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вища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6) стаж роботи (років)**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37</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7) найменування підприємства та попередня посада, яку займав**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Директор "Озекс" (Словакiя)</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30.04.2014 3 роки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9) Опис</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Посадова особа не дала згоду на оприлюднення паспортних даних .</w:t>
            </w:r>
            <w:r>
              <w:rPr>
                <w:rFonts w:eastAsia="Times New Roman"/>
                <w:color w:val="000000"/>
              </w:rPr>
              <w:br/>
              <w:t xml:space="preserve">Повноваження та обов'язки Голови Наглядової ради визначенi Статутом Товариства. . Головним обов'язком членiв наглядової ради є контроль за дiяльнiстю Виконавчого органу Товариства та захист iнтересiв акцiонерiв Товариства. </w:t>
            </w:r>
            <w:r>
              <w:rPr>
                <w:rFonts w:eastAsia="Times New Roman"/>
                <w:color w:val="000000"/>
              </w:rPr>
              <w:br/>
              <w:t xml:space="preserve">Керується у своїй дiяльностi чинним законодавством України, Статутом товариства, та рiшеннями зборiв Товариства. </w:t>
            </w:r>
            <w:r>
              <w:rPr>
                <w:rFonts w:eastAsia="Times New Roman"/>
                <w:color w:val="000000"/>
              </w:rPr>
              <w:br/>
              <w:t>Для здiйснення своїх повноважень наглядова рада має право:</w:t>
            </w:r>
            <w:r>
              <w:rPr>
                <w:rFonts w:eastAsia="Times New Roman"/>
                <w:color w:val="000000"/>
              </w:rPr>
              <w:br/>
              <w:t>- отримувати iнформацiю про дiяльнiсть Товариства;</w:t>
            </w:r>
            <w:r>
              <w:rPr>
                <w:rFonts w:eastAsia="Times New Roman"/>
                <w:color w:val="000000"/>
              </w:rPr>
              <w:br/>
              <w:t>- заслуховувати звiти Виконавчого органу, посадових осiб Товариства з окремих питань його дiяльностi;</w:t>
            </w:r>
            <w:r>
              <w:rPr>
                <w:rFonts w:eastAsia="Times New Roman"/>
                <w:color w:val="000000"/>
              </w:rPr>
              <w:br/>
              <w:t xml:space="preserve">- iнiцiювати скликання загальних зборiв акцiонерiв; </w:t>
            </w:r>
            <w:r>
              <w:rPr>
                <w:rFonts w:eastAsia="Times New Roman"/>
                <w:color w:val="000000"/>
              </w:rPr>
              <w:br/>
              <w:t>- залучати експертiв по аналiзу окремих питань дiяльностi Товариства.</w:t>
            </w:r>
            <w:r>
              <w:rPr>
                <w:rFonts w:eastAsia="Times New Roman"/>
                <w:color w:val="000000"/>
              </w:rPr>
              <w:br/>
              <w:t>Голова Наглядової ради є посадовою особою Товариства i несе вiдповiдальнiсть в межах своїх повноважень, повиннi зберiгати комерцiйну таємницю та конфiденцiйну iнформацiю про дiяльнiсть Товариства.</w:t>
            </w:r>
            <w:r>
              <w:rPr>
                <w:rFonts w:eastAsia="Times New Roman"/>
                <w:color w:val="000000"/>
              </w:rPr>
              <w:br/>
              <w:t>За виконання обов'язкiв голови наглядової ради, в тому числi у натуральнiй формi винагороду не отримував.</w:t>
            </w:r>
            <w:r>
              <w:rPr>
                <w:rFonts w:eastAsia="Times New Roman"/>
                <w:color w:val="000000"/>
              </w:rPr>
              <w:br/>
              <w:t>Неризиден.</w:t>
            </w:r>
            <w:r>
              <w:rPr>
                <w:rFonts w:eastAsia="Times New Roman"/>
                <w:color w:val="000000"/>
              </w:rPr>
              <w:br/>
              <w:t>Попереднi посади директор "Озекс"Словаччина,м.Прешов,голова наглядової ради ПАТ"Гроно-Текс", керiвний стаж понад 8 рокiв, загальний стаж понад 37 рокiв.</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притягався</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lastRenderedPageBreak/>
              <w:t>1) посада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Член Наглядової ради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Мирослава Iльчина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Словаччина м.Пряшiв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4) рік народження**</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1968</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5) освіта**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Вища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6) стаж роботи (років)**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25</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7) найменування підприємства та попередня посада, яку займав**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Неризидент, Словаччина м.Пряшiв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30.04.2014 3 роки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9) Опис</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 xml:space="preserve">Головним обов'язком членiв наглядової ради є контроль за дiяльнiстю Виконавчого органу Товариства та захист iнтересiв акцiонерiв Товариства. </w:t>
            </w:r>
            <w:r>
              <w:rPr>
                <w:rFonts w:eastAsia="Times New Roman"/>
                <w:color w:val="000000"/>
              </w:rPr>
              <w:br/>
              <w:t xml:space="preserve">Керується у своїй дiяльностi чинним законодавством України, Статутом товариства, та рiшеннями зборiв Товариства. </w:t>
            </w:r>
            <w:r>
              <w:rPr>
                <w:rFonts w:eastAsia="Times New Roman"/>
                <w:color w:val="000000"/>
              </w:rPr>
              <w:br/>
              <w:t>Для здiйснення своїх повноважень наглядова рада має право:</w:t>
            </w:r>
            <w:r>
              <w:rPr>
                <w:rFonts w:eastAsia="Times New Roman"/>
                <w:color w:val="000000"/>
              </w:rPr>
              <w:br/>
              <w:t>- отримувати iнформацiю про дiяльнiсть Товариства;</w:t>
            </w:r>
            <w:r>
              <w:rPr>
                <w:rFonts w:eastAsia="Times New Roman"/>
                <w:color w:val="000000"/>
              </w:rPr>
              <w:br/>
              <w:t>- заслуховувати звiти Виконавчого органу, посадових осiб Товариства з окремих питань його дiяльностi;</w:t>
            </w:r>
            <w:r>
              <w:rPr>
                <w:rFonts w:eastAsia="Times New Roman"/>
                <w:color w:val="000000"/>
              </w:rPr>
              <w:br/>
              <w:t xml:space="preserve">- iнiцiювати скликання загальних зборiв акцiонерiв; </w:t>
            </w:r>
            <w:r>
              <w:rPr>
                <w:rFonts w:eastAsia="Times New Roman"/>
                <w:color w:val="000000"/>
              </w:rPr>
              <w:br/>
              <w:t>- залучати експертiв по аналiзу окремих питань дiяльностi Товариства.</w:t>
            </w:r>
            <w:r>
              <w:rPr>
                <w:rFonts w:eastAsia="Times New Roman"/>
                <w:color w:val="000000"/>
              </w:rPr>
              <w:br/>
              <w:t>Члени Наглядової радаи в межах своїх повноважень, повиннi зберiгати комерцiйну таємницю та конфiденцiйну iнформацiю про дiяльнiсть Товариства.Керiвний стаж понад 8 рокiв, загальний стаж роботи понад 25р.</w:t>
            </w:r>
            <w:r>
              <w:rPr>
                <w:rFonts w:eastAsia="Times New Roman"/>
                <w:color w:val="000000"/>
              </w:rPr>
              <w:br/>
              <w:t>Неризидент,Словаччина м.Пряшiв, Член Наглядової ради ПАТ «Гроно-Текс» з 12.10.2011р.</w:t>
            </w:r>
            <w:r>
              <w:rPr>
                <w:rFonts w:eastAsia="Times New Roman"/>
                <w:color w:val="000000"/>
              </w:rPr>
              <w:br/>
              <w:t>За виконання обовязкiв члена наглядової ради, в тому числi у натуральнiй формi винагороду не отримувала.</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притягався</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 посада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Член Наглядової ради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Ступак Йозеф</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lastRenderedPageBreak/>
              <w:t>3) паспортні дані фізичної особи (серія, номер, дата видачі, орган, який видав)* або код за ЄДРПОУ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Словаччина м.Пряшiв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4) рік народження**</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1969</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5) освіта**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вища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6) стаж роботи (років)**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25</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7) найменування підприємства та попередня посада, яку займав**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Неризидент, Словаччина м.Пряшiв. Консультант з фiнансових питань</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30.04.2014 3 роки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9) Опис</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 xml:space="preserve">Головним обов'язком членiв наглядової ради є контроль за дiяльнiстю Виконавчого органу Товариства та захист iнтересiв акцiонерiв Товариства. </w:t>
            </w:r>
            <w:r>
              <w:rPr>
                <w:rFonts w:eastAsia="Times New Roman"/>
                <w:color w:val="000000"/>
              </w:rPr>
              <w:br/>
              <w:t xml:space="preserve">Керується у своїй дiяльностi чинним законодавством України, Статутом товариства, та рiшеннями зборiв Товариства. </w:t>
            </w:r>
            <w:r>
              <w:rPr>
                <w:rFonts w:eastAsia="Times New Roman"/>
                <w:color w:val="000000"/>
              </w:rPr>
              <w:br/>
              <w:t>Для здiйснення своїх повноважень наглядова рада має право:</w:t>
            </w:r>
            <w:r>
              <w:rPr>
                <w:rFonts w:eastAsia="Times New Roman"/>
                <w:color w:val="000000"/>
              </w:rPr>
              <w:br/>
              <w:t>- отримувати iнформацiю про дiяльнiсть Товариства;</w:t>
            </w:r>
            <w:r>
              <w:rPr>
                <w:rFonts w:eastAsia="Times New Roman"/>
                <w:color w:val="000000"/>
              </w:rPr>
              <w:br/>
              <w:t>- заслуховувати звiти Виконавчого органу, посадових осiб Товариства з окремих питань його дiяльностi;</w:t>
            </w:r>
            <w:r>
              <w:rPr>
                <w:rFonts w:eastAsia="Times New Roman"/>
                <w:color w:val="000000"/>
              </w:rPr>
              <w:br/>
              <w:t xml:space="preserve">- iнiцiювати скликання загальних зборiв акцiонерiв; </w:t>
            </w:r>
            <w:r>
              <w:rPr>
                <w:rFonts w:eastAsia="Times New Roman"/>
                <w:color w:val="000000"/>
              </w:rPr>
              <w:br/>
              <w:t>- залучати експертiв по аналiзу окремих питань дiяльностi Товариства.</w:t>
            </w:r>
            <w:r>
              <w:rPr>
                <w:rFonts w:eastAsia="Times New Roman"/>
                <w:color w:val="000000"/>
              </w:rPr>
              <w:br/>
              <w:t>Члени Наглядової радаи в межах своїх повноважень, повиннi зберiгати комерцiйну таємницю та конфiденцiйну iнформацiю про дiяльнiсть Товариства.</w:t>
            </w:r>
            <w:r>
              <w:rPr>
                <w:rFonts w:eastAsia="Times New Roman"/>
                <w:color w:val="000000"/>
              </w:rPr>
              <w:br/>
              <w:t xml:space="preserve">З 12.10.2011р.Член Нагладової Ради ПАТ «Гроно-Текс». </w:t>
            </w:r>
            <w:r>
              <w:rPr>
                <w:rFonts w:eastAsia="Times New Roman"/>
                <w:color w:val="000000"/>
              </w:rPr>
              <w:br/>
              <w:t>Неризидент, Словаччина м.Пряшiв.</w:t>
            </w:r>
            <w:r>
              <w:rPr>
                <w:rFonts w:eastAsia="Times New Roman"/>
                <w:color w:val="000000"/>
              </w:rPr>
              <w:br/>
              <w:t xml:space="preserve">Попереднi посади консультат з фiнансових питань, керiвний стаж понад 11 рокiв, загальний стаж роботи понад 25 рокiв </w:t>
            </w:r>
            <w:r>
              <w:rPr>
                <w:rFonts w:eastAsia="Times New Roman"/>
                <w:color w:val="000000"/>
              </w:rPr>
              <w:br/>
              <w:t>За виконання обовязкiв члена наглядової ради, в тому числi у натуральнiй формi винагороду не отримував.</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притягався</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 посада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Голова ревiзiйної комiсiї</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Бродюк Марiя Михайлiвна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asciiTheme="minorHAnsi" w:hAnsiTheme="minorHAnsi" w:cstheme="minorBidi"/>
                <w:sz w:val="22"/>
                <w:szCs w:val="22"/>
              </w:rPr>
            </w:pP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lastRenderedPageBreak/>
              <w:t>4) рік народження**</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1960</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5) освіта**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вища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6) стаж роботи (років)**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28</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7) найменування підприємства та попередня посада, яку займав**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Економiст ВВТШО "Гроно"</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30.04.2014 3 роки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9) Опис</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Голова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 xml:space="preserve">Винагороду за посаду голови ревiзiйної комiсiї , у тому числi в натуральнiй формi не отримувала. </w:t>
            </w:r>
            <w:r>
              <w:rPr>
                <w:rFonts w:eastAsia="Times New Roman"/>
                <w:color w:val="000000"/>
              </w:rPr>
              <w:br/>
              <w:t>Попереднi посади економiст: економiст - ВАТ ВВТШО "Гроно" та ПрАТ "Гроно-Текст", загальний стаж роботи понад 28 рокiв.</w:t>
            </w:r>
            <w:r>
              <w:rPr>
                <w:rFonts w:eastAsia="Times New Roman"/>
                <w:color w:val="000000"/>
              </w:rPr>
              <w:br/>
              <w:t>Непогашеної судимостi за корисливi та службовi злочини не має.</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 посада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Член Ревiзiйної комiсiї</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Купар Софiя Миронiвна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asciiTheme="minorHAnsi" w:hAnsiTheme="minorHAnsi" w:cstheme="minorBidi"/>
                <w:sz w:val="22"/>
                <w:szCs w:val="22"/>
              </w:rPr>
            </w:pP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4) рік народження**</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1960</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5) освіта**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Вища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6) стаж роботи (років)**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lastRenderedPageBreak/>
              <w:t>28</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7) найменування підприємства та попередня посада, яку займав**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ВАТ ВВТШО "Гроно" -економiст</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30.04.2014 3 роки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9) Опис</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 xml:space="preserve">Винагороду за посаду члена ревiзiйної комiсiї, у тому числi в натуральнiй формi не отримувала. </w:t>
            </w:r>
            <w:r>
              <w:rPr>
                <w:rFonts w:eastAsia="Times New Roman"/>
                <w:color w:val="000000"/>
              </w:rPr>
              <w:br/>
              <w:t>Попереднi посади: економiст- ВАТ ВВТШО "Гроно" та ПАТ "Гроно -Текс", економiст, загальний стаж роботи понад 28 рокiв.</w:t>
            </w:r>
            <w:r>
              <w:rPr>
                <w:rFonts w:eastAsia="Times New Roman"/>
                <w:color w:val="000000"/>
              </w:rPr>
              <w:br/>
              <w:t>Непогашеної судимостi за корисливi та посадовi злочини немає</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 посада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Член ревiзiйної комiсiї</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Мадi Ганна Василiвна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2C3319" w:rsidTr="002C3319">
        <w:tc>
          <w:tcPr>
            <w:tcW w:w="0" w:type="auto"/>
            <w:tcMar>
              <w:top w:w="60" w:type="dxa"/>
              <w:left w:w="60" w:type="dxa"/>
              <w:bottom w:w="60" w:type="dxa"/>
              <w:right w:w="60" w:type="dxa"/>
            </w:tcMar>
            <w:hideMark/>
          </w:tcPr>
          <w:p w:rsidR="002C3319" w:rsidRDefault="002C3319">
            <w:pPr>
              <w:rPr>
                <w:rFonts w:asciiTheme="minorHAnsi" w:hAnsiTheme="minorHAnsi" w:cstheme="minorBidi"/>
                <w:sz w:val="22"/>
                <w:szCs w:val="22"/>
              </w:rPr>
            </w:pP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4) рік народження**</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1962</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5) освіта**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вища</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6) стаж роботи (років)**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28</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7) найменування підприємства та попередня посада, яку займав**</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ВАТ ВВТШО "Гроно"-робiтниця</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30.04.2014 3 роки</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lastRenderedPageBreak/>
              <w:t>9) Опис</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Попереднi посади: робiтнийя- ВАТ ВВТШО "Гроно"та ПрАТ "Гроно-Текс", загальний стаж роботи понад 28 рокiв.</w:t>
            </w:r>
            <w:r>
              <w:rPr>
                <w:rFonts w:eastAsia="Times New Roman"/>
                <w:color w:val="000000"/>
              </w:rPr>
              <w:br/>
              <w:t xml:space="preserve">Винагороду за посаду члена ревiзiйної комiсiї, у тому числi в натуральнiй формi не отримувала. </w:t>
            </w:r>
            <w:r>
              <w:rPr>
                <w:rFonts w:eastAsia="Times New Roman"/>
                <w:color w:val="000000"/>
              </w:rPr>
              <w:br/>
              <w:t xml:space="preserve">Непогашеної судимостi за корисливi та посадовi злочини немає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2C3319" w:rsidRDefault="002C3319" w:rsidP="002C3319">
      <w:pPr>
        <w:rPr>
          <w:rFonts w:eastAsia="Times New Roman"/>
          <w:color w:val="000000"/>
        </w:rPr>
        <w:sectPr w:rsidR="002C3319">
          <w:pgSz w:w="11907" w:h="16840"/>
          <w:pgMar w:top="1134" w:right="851" w:bottom="851" w:left="851" w:header="0" w:footer="0" w:gutter="0"/>
          <w:cols w:space="720"/>
        </w:sectPr>
      </w:pPr>
    </w:p>
    <w:p w:rsidR="002C3319" w:rsidRDefault="002C3319" w:rsidP="002C3319">
      <w:pPr>
        <w:pStyle w:val="4"/>
        <w:rPr>
          <w:color w:val="000000"/>
        </w:rPr>
      </w:pPr>
      <w:r>
        <w:rPr>
          <w:color w:val="000000"/>
        </w:rPr>
        <w:lastRenderedPageBreak/>
        <w:t>2. Інформація про володіння посадовими особами емітента акціями емітента</w:t>
      </w:r>
    </w:p>
    <w:tbl>
      <w:tblPr>
        <w:tblW w:w="5000" w:type="pct"/>
        <w:tblLook w:val="04A0"/>
      </w:tblPr>
      <w:tblGrid>
        <w:gridCol w:w="1288"/>
        <w:gridCol w:w="2616"/>
        <w:gridCol w:w="2812"/>
        <w:gridCol w:w="1223"/>
        <w:gridCol w:w="1581"/>
        <w:gridCol w:w="826"/>
        <w:gridCol w:w="1414"/>
        <w:gridCol w:w="1532"/>
        <w:gridCol w:w="1683"/>
      </w:tblGrid>
      <w:tr w:rsidR="002C3319" w:rsidTr="002C331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2C3319" w:rsidTr="002C33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9</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Лакатош Iгор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191100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0.05578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191100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Боршош Надiя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xml:space="preserve">Голова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Ян Мiхрiна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Iльчина Мирослава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Купар Софiя Миронiвна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0.0003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Мадi Ганна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Ступак Йозеф</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Ступак Йозеф</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Бродюк Марiя Михайлiвна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2398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0.0070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2398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right"/>
              <w:rPr>
                <w:rFonts w:eastAsia="Times New Roman"/>
                <w:color w:val="000000"/>
                <w:sz w:val="20"/>
                <w:szCs w:val="20"/>
              </w:rPr>
            </w:pPr>
            <w:r>
              <w:rPr>
                <w:rStyle w:val="a6"/>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193601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0.5651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193601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r>
    </w:tbl>
    <w:p w:rsidR="002C3319" w:rsidRDefault="002C3319" w:rsidP="002C3319">
      <w:pPr>
        <w:pStyle w:val="small-text"/>
        <w:rPr>
          <w:color w:val="000000"/>
        </w:rPr>
      </w:pPr>
      <w:r>
        <w:rPr>
          <w:color w:val="000000"/>
        </w:rPr>
        <w:t xml:space="preserve">* Зазначається у разі надання згоди фізичної особи на розкриття паспортних даних. </w:t>
      </w:r>
    </w:p>
    <w:p w:rsidR="002C3319" w:rsidRDefault="002C3319" w:rsidP="002C3319">
      <w:pPr>
        <w:rPr>
          <w:rFonts w:eastAsia="Times New Roman"/>
          <w:color w:val="000000"/>
        </w:rPr>
        <w:sectPr w:rsidR="002C3319">
          <w:pgSz w:w="16840" w:h="11907" w:orient="landscape"/>
          <w:pgMar w:top="1134" w:right="1134" w:bottom="851" w:left="851" w:header="0" w:footer="0" w:gutter="0"/>
          <w:cols w:space="720"/>
        </w:sectPr>
      </w:pPr>
    </w:p>
    <w:p w:rsidR="002C3319" w:rsidRDefault="002C3319" w:rsidP="002C3319">
      <w:pPr>
        <w:pStyle w:val="3"/>
        <w:rPr>
          <w:color w:val="000000"/>
        </w:rPr>
      </w:pPr>
      <w:r>
        <w:rPr>
          <w:color w:val="000000"/>
        </w:rPr>
        <w:lastRenderedPageBreak/>
        <w:t>VI. Інформація про осіб, що володіють 10 відсотками та більше акцій емітента</w:t>
      </w:r>
    </w:p>
    <w:tbl>
      <w:tblPr>
        <w:tblW w:w="5000" w:type="pct"/>
        <w:tblLook w:val="04A0"/>
      </w:tblPr>
      <w:tblGrid>
        <w:gridCol w:w="2074"/>
        <w:gridCol w:w="1221"/>
        <w:gridCol w:w="2655"/>
        <w:gridCol w:w="1371"/>
        <w:gridCol w:w="1721"/>
        <w:gridCol w:w="1163"/>
        <w:gridCol w:w="1456"/>
        <w:gridCol w:w="1562"/>
        <w:gridCol w:w="1752"/>
      </w:tblGrid>
      <w:tr w:rsidR="002C3319" w:rsidTr="002C331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2C3319" w:rsidTr="002C33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Пiдприємство "ОЗЕКС- Словакiя"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31652239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Дв Словаччина Дв м.Пряшiв вул.Масарикова,22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1266365245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99.8707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1266365245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2C3319" w:rsidTr="002C33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2C3319" w:rsidTr="002C3319">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right"/>
              <w:rPr>
                <w:rFonts w:eastAsia="Times New Roman"/>
                <w:color w:val="000000"/>
                <w:sz w:val="20"/>
                <w:szCs w:val="20"/>
              </w:rPr>
            </w:pPr>
            <w:r>
              <w:rPr>
                <w:rStyle w:val="a6"/>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1266365245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99.8707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1266365245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r>
    </w:tbl>
    <w:p w:rsidR="002C3319" w:rsidRDefault="002C3319" w:rsidP="002C3319">
      <w:pPr>
        <w:pStyle w:val="small-text"/>
        <w:rPr>
          <w:color w:val="000000"/>
        </w:rPr>
      </w:pPr>
      <w:r>
        <w:rPr>
          <w:color w:val="000000"/>
        </w:rPr>
        <w:t xml:space="preserve">* Зазначається: "Фізична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2C3319" w:rsidRDefault="002C3319" w:rsidP="002C3319">
      <w:pPr>
        <w:rPr>
          <w:rFonts w:eastAsia="Times New Roman"/>
          <w:color w:val="000000"/>
        </w:rPr>
        <w:sectPr w:rsidR="002C3319">
          <w:pgSz w:w="16840" w:h="11907" w:orient="landscape"/>
          <w:pgMar w:top="1134" w:right="1134" w:bottom="851" w:left="851" w:header="0" w:footer="0" w:gutter="0"/>
          <w:cols w:space="720"/>
        </w:sectPr>
      </w:pPr>
    </w:p>
    <w:p w:rsidR="002C3319" w:rsidRDefault="002C3319" w:rsidP="002C3319">
      <w:pPr>
        <w:pStyle w:val="3"/>
        <w:rPr>
          <w:color w:val="000000"/>
        </w:rPr>
      </w:pPr>
      <w:r>
        <w:rPr>
          <w:color w:val="000000"/>
        </w:rPr>
        <w:lastRenderedPageBreak/>
        <w:t>VII. Інформація про загальні збори акціонерів</w:t>
      </w:r>
    </w:p>
    <w:tbl>
      <w:tblPr>
        <w:tblW w:w="5000" w:type="pct"/>
        <w:tblLook w:val="04A0"/>
      </w:tblPr>
      <w:tblGrid>
        <w:gridCol w:w="1669"/>
        <w:gridCol w:w="3461"/>
        <w:gridCol w:w="5195"/>
      </w:tblGrid>
      <w:tr w:rsidR="002C3319" w:rsidTr="002C331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позачергові</w:t>
            </w:r>
          </w:p>
        </w:tc>
      </w:tr>
      <w:tr w:rsidR="002C3319" w:rsidTr="002C33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30.04.2014</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99.87</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Порядок денний</w:t>
            </w:r>
            <w:r>
              <w:rPr>
                <w:rFonts w:eastAsia="Times New Roman"/>
                <w:color w:val="000000"/>
                <w:sz w:val="20"/>
                <w:szCs w:val="20"/>
              </w:rPr>
              <w:br/>
              <w:t>1. Про обрання лiчильної комiсiї, голови та секретаря зборiв, затвердження регламенту роботи загальних зборiв акцiонерiв Товариства.</w:t>
            </w:r>
            <w:r>
              <w:rPr>
                <w:rFonts w:eastAsia="Times New Roman"/>
                <w:color w:val="000000"/>
                <w:sz w:val="20"/>
                <w:szCs w:val="20"/>
              </w:rPr>
              <w:br/>
              <w:t xml:space="preserve">2. Звiт Виконавчого органу про результати фiнансово-господарської дiяльностi Товариства в 2013 роцi. Прийняття рiшення за наслiдками розгляду звiту Виконавчого органу. </w:t>
            </w:r>
            <w:r>
              <w:rPr>
                <w:rFonts w:eastAsia="Times New Roman"/>
                <w:color w:val="000000"/>
                <w:sz w:val="20"/>
                <w:szCs w:val="20"/>
              </w:rPr>
              <w:br/>
              <w:t>3. Звiт Наглядової ради за 2013 р. Прийняття рiшення за наслiдками розгляду звiту Наглядової ради Товариства.</w:t>
            </w:r>
            <w:r>
              <w:rPr>
                <w:rFonts w:eastAsia="Times New Roman"/>
                <w:color w:val="000000"/>
                <w:sz w:val="20"/>
                <w:szCs w:val="20"/>
              </w:rPr>
              <w:br/>
              <w:t>4. Звiт Ревiзiйної комiсiї щодо висновкiв з балансу та рiчного звiту Товариства за 2013 рiк. Прийняття рiшення за наслiдками розгляду звiту Ревiзiйної комiсiї.</w:t>
            </w:r>
            <w:r>
              <w:rPr>
                <w:rFonts w:eastAsia="Times New Roman"/>
                <w:color w:val="000000"/>
                <w:sz w:val="20"/>
                <w:szCs w:val="20"/>
              </w:rPr>
              <w:br/>
              <w:t>5. Розгляд та затвердження рiчного звiту та балансу ПАТ «ГРОНО-ТЕКС» за 2013р.</w:t>
            </w:r>
            <w:r>
              <w:rPr>
                <w:rFonts w:eastAsia="Times New Roman"/>
                <w:color w:val="000000"/>
                <w:sz w:val="20"/>
                <w:szCs w:val="20"/>
              </w:rPr>
              <w:br/>
              <w:t>6. Визначення та затвердження порядку розподiлу прибутку (покриття збитку) ПАТ «ГРОНО-ТЕКС» за пiдсумками роботи 2013 р.</w:t>
            </w:r>
            <w:r>
              <w:rPr>
                <w:rFonts w:eastAsia="Times New Roman"/>
                <w:color w:val="000000"/>
                <w:sz w:val="20"/>
                <w:szCs w:val="20"/>
              </w:rPr>
              <w:br/>
              <w:t>7. Вiдкликання та обрання членiв Наглядової ради.</w:t>
            </w:r>
            <w:r>
              <w:rPr>
                <w:rFonts w:eastAsia="Times New Roman"/>
                <w:color w:val="000000"/>
                <w:sz w:val="20"/>
                <w:szCs w:val="20"/>
              </w:rPr>
              <w:br/>
              <w:t>8. Вiдкликання та обрання членiв Ревiзiйної комiсiї.</w:t>
            </w:r>
            <w:r>
              <w:rPr>
                <w:rFonts w:eastAsia="Times New Roman"/>
                <w:color w:val="000000"/>
                <w:sz w:val="20"/>
                <w:szCs w:val="20"/>
              </w:rPr>
              <w:br/>
              <w:t>9. Прийняття рiшення про попереднє схвалення значних правочинiв Товариства.</w:t>
            </w:r>
            <w:r>
              <w:rPr>
                <w:rFonts w:eastAsia="Times New Roman"/>
                <w:color w:val="000000"/>
                <w:sz w:val="20"/>
                <w:szCs w:val="20"/>
              </w:rPr>
              <w:br/>
              <w:t>Рiшення прийнятi</w:t>
            </w:r>
          </w:p>
        </w:tc>
      </w:tr>
    </w:tbl>
    <w:p w:rsidR="002C3319" w:rsidRDefault="002C3319" w:rsidP="002C3319">
      <w:pPr>
        <w:rPr>
          <w:rFonts w:eastAsia="Times New Roman"/>
          <w:color w:val="000000"/>
        </w:rPr>
      </w:pPr>
    </w:p>
    <w:tbl>
      <w:tblPr>
        <w:tblW w:w="5000" w:type="pct"/>
        <w:tblLook w:val="04A0"/>
      </w:tblPr>
      <w:tblGrid>
        <w:gridCol w:w="1964"/>
        <w:gridCol w:w="3343"/>
        <w:gridCol w:w="5018"/>
      </w:tblGrid>
      <w:tr w:rsidR="002C3319" w:rsidTr="002C331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позачергові</w:t>
            </w:r>
          </w:p>
        </w:tc>
      </w:tr>
      <w:tr w:rsidR="002C3319" w:rsidTr="002C33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22.08.2014</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99.87</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Порядок денний:</w:t>
            </w:r>
            <w:r>
              <w:rPr>
                <w:rFonts w:eastAsia="Times New Roman"/>
                <w:color w:val="000000"/>
                <w:sz w:val="20"/>
                <w:szCs w:val="20"/>
              </w:rPr>
              <w:br/>
              <w:t xml:space="preserve">1. Про обрання лiчильної комiсiї. </w:t>
            </w:r>
            <w:r>
              <w:rPr>
                <w:rFonts w:eastAsia="Times New Roman"/>
                <w:color w:val="000000"/>
                <w:sz w:val="20"/>
                <w:szCs w:val="20"/>
              </w:rPr>
              <w:br/>
              <w:t>2. Обрання голови, секретаря зборiв та затвердження регламенту роботи загальних зборiв акцiонерiв Товариства.</w:t>
            </w:r>
            <w:r>
              <w:rPr>
                <w:rFonts w:eastAsia="Times New Roman"/>
                <w:color w:val="000000"/>
                <w:sz w:val="20"/>
                <w:szCs w:val="20"/>
              </w:rPr>
              <w:br/>
              <w:t>3. Затвердження звiту про результати приватного розмiщення акцiй.</w:t>
            </w:r>
            <w:r>
              <w:rPr>
                <w:rFonts w:eastAsia="Times New Roman"/>
                <w:color w:val="000000"/>
                <w:sz w:val="20"/>
                <w:szCs w:val="20"/>
              </w:rPr>
              <w:br/>
              <w:t>Рiшення прийнятi</w:t>
            </w:r>
          </w:p>
        </w:tc>
      </w:tr>
    </w:tbl>
    <w:p w:rsidR="002C3319" w:rsidRDefault="002C3319" w:rsidP="002C3319">
      <w:pPr>
        <w:rPr>
          <w:rFonts w:eastAsia="Times New Roman"/>
          <w:color w:val="000000"/>
        </w:rPr>
      </w:pPr>
    </w:p>
    <w:p w:rsidR="002C3319" w:rsidRDefault="002C3319" w:rsidP="002C3319">
      <w:pPr>
        <w:rPr>
          <w:rFonts w:eastAsia="Times New Roman"/>
          <w:color w:val="000000"/>
        </w:rPr>
        <w:sectPr w:rsidR="002C3319">
          <w:pgSz w:w="11907" w:h="16840"/>
          <w:pgMar w:top="1134" w:right="851" w:bottom="851" w:left="851" w:header="0" w:footer="0" w:gutter="0"/>
          <w:cols w:space="720"/>
        </w:sectPr>
      </w:pPr>
    </w:p>
    <w:p w:rsidR="002C3319" w:rsidRDefault="002C3319" w:rsidP="002C3319">
      <w:pPr>
        <w:pStyle w:val="3"/>
        <w:rPr>
          <w:color w:val="000000"/>
        </w:rPr>
      </w:pPr>
      <w:r>
        <w:rPr>
          <w:color w:val="000000"/>
        </w:rPr>
        <w:lastRenderedPageBreak/>
        <w:t>IX. Інформація про осіб, послугами яких користується емітент</w:t>
      </w:r>
    </w:p>
    <w:tbl>
      <w:tblPr>
        <w:tblW w:w="5000" w:type="pct"/>
        <w:tblLook w:val="04A0"/>
      </w:tblPr>
      <w:tblGrid>
        <w:gridCol w:w="4130"/>
        <w:gridCol w:w="6195"/>
      </w:tblGrid>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ПАТ "Промiнвестбанк"</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Акціонерне товариство </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00039002</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01001 Україна Закарпатська Шевченкiвський район м.Київ пров. Шевченка,12 </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АЕ № 286518</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НКЦПФР</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24.09.2013</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0443646777 , 0443646541</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0443646777 , 0443646541</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Юридична особа, яка здiйснює професiйну депозитарну дiяльнiсть зберiгача .</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З 12.10.2013р. cтрок дiї лiцензiї не обмежений</w:t>
            </w:r>
          </w:p>
        </w:tc>
      </w:tr>
    </w:tbl>
    <w:p w:rsidR="002C3319" w:rsidRDefault="002C3319" w:rsidP="002C3319">
      <w:pPr>
        <w:rPr>
          <w:rFonts w:eastAsia="Times New Roman"/>
          <w:color w:val="000000"/>
        </w:rPr>
      </w:pPr>
    </w:p>
    <w:tbl>
      <w:tblPr>
        <w:tblW w:w="5000" w:type="pct"/>
        <w:tblLook w:val="04A0"/>
      </w:tblPr>
      <w:tblGrid>
        <w:gridCol w:w="4130"/>
        <w:gridCol w:w="6195"/>
      </w:tblGrid>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ПАТ"Нацiональний депозитарiй України"</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Акціонерне товариство </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30370711</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04071 Україна м. Київ Дв м.Київ Нижний Вал, 17/8</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АВ № 189650</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ДКЦПФР</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09.09.2006</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(044)279-10-78</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(044)279-10-78</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Депозитарна дiяльнiсть</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Вiдкритий рахунок в цiнних паперах. Оформлений глобальний сертифiкат.</w:t>
            </w:r>
          </w:p>
        </w:tc>
      </w:tr>
    </w:tbl>
    <w:p w:rsidR="002C3319" w:rsidRDefault="002C3319" w:rsidP="002C3319">
      <w:pPr>
        <w:rPr>
          <w:rFonts w:eastAsia="Times New Roman"/>
          <w:color w:val="000000"/>
        </w:rPr>
      </w:pPr>
    </w:p>
    <w:tbl>
      <w:tblPr>
        <w:tblW w:w="5000" w:type="pct"/>
        <w:tblLook w:val="04A0"/>
      </w:tblPr>
      <w:tblGrid>
        <w:gridCol w:w="4130"/>
        <w:gridCol w:w="6195"/>
      </w:tblGrid>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ТОВ «Аудиторська компанiя Закарпат-Бiзнес-Консалтiнг»</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33360313</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89600 Україна Закарпатська Мукачiвський район м.Мукачево вул. Митрака, бу.58А, кв.5 </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3556</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Аудиторською палатою України</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31.01.2005</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+38(03131) 32353</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lastRenderedPageBreak/>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+38(03131) 32353</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Аудиторськi послуги</w:t>
            </w:r>
          </w:p>
        </w:tc>
      </w:tr>
      <w:tr w:rsidR="002C3319" w:rsidTr="002C3319">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Органiзацiйно-правова форма товариство з обмеженою вiдповiдальнiстю </w:t>
            </w:r>
            <w:r>
              <w:rPr>
                <w:rFonts w:eastAsia="Times New Roman"/>
                <w:color w:val="000000"/>
                <w:sz w:val="20"/>
                <w:szCs w:val="20"/>
              </w:rPr>
              <w:br/>
              <w:t xml:space="preserve">Iдентифiкацiйний код за ЄДРПОУ 33360313 </w:t>
            </w:r>
            <w:r>
              <w:rPr>
                <w:rFonts w:eastAsia="Times New Roman"/>
                <w:color w:val="000000"/>
                <w:sz w:val="20"/>
                <w:szCs w:val="20"/>
              </w:rPr>
              <w:br/>
              <w:t xml:space="preserve">Мiсцезнаходження юридична адреса:Закарпатська область, п/i 89600 м. Мукачево, вул вул. Митрака, бу.58А, кв.5, </w:t>
            </w:r>
            <w:r>
              <w:rPr>
                <w:rFonts w:eastAsia="Times New Roman"/>
                <w:color w:val="000000"/>
                <w:sz w:val="20"/>
                <w:szCs w:val="20"/>
              </w:rPr>
              <w:br/>
              <w:t xml:space="preserve">Мiсцезнаходження фактична :Закарпатська область, п/i 89600 м. Мукачево, вул. Валенберга, 29/2 </w:t>
            </w:r>
            <w:r>
              <w:rPr>
                <w:rFonts w:eastAsia="Times New Roman"/>
                <w:color w:val="000000"/>
                <w:sz w:val="20"/>
                <w:szCs w:val="20"/>
              </w:rPr>
              <w:br/>
              <w:t xml:space="preserve">Номер лiцензiї або iншого документа на цей вид дiяльностi Свiдоцтво про внесення до реєстру аудиторських фiрм та аудиторiв № 3556 видане рiшенням АПУ вiд 31 березня 2005 р. N 147/3. </w:t>
            </w:r>
            <w:r>
              <w:rPr>
                <w:rFonts w:eastAsia="Times New Roman"/>
                <w:color w:val="000000"/>
                <w:sz w:val="20"/>
                <w:szCs w:val="20"/>
              </w:rPr>
              <w:br/>
              <w:t>Мiжмiський код та телефон тел./факс+38(03131) 32353. zbc-audit.com.ua</w:t>
            </w:r>
          </w:p>
        </w:tc>
      </w:tr>
    </w:tbl>
    <w:p w:rsidR="002C3319" w:rsidRDefault="002C3319" w:rsidP="002C3319">
      <w:pPr>
        <w:rPr>
          <w:rFonts w:eastAsia="Times New Roman"/>
          <w:color w:val="000000"/>
        </w:rPr>
      </w:pPr>
    </w:p>
    <w:p w:rsidR="002C3319" w:rsidRDefault="002C3319" w:rsidP="002C3319">
      <w:pPr>
        <w:rPr>
          <w:rFonts w:eastAsia="Times New Roman"/>
          <w:color w:val="000000"/>
        </w:rPr>
        <w:sectPr w:rsidR="002C3319">
          <w:pgSz w:w="11907" w:h="16840"/>
          <w:pgMar w:top="1134" w:right="851" w:bottom="851" w:left="851" w:header="0" w:footer="0" w:gutter="0"/>
          <w:cols w:space="720"/>
        </w:sectPr>
      </w:pPr>
    </w:p>
    <w:p w:rsidR="002C3319" w:rsidRDefault="002C3319" w:rsidP="002C3319">
      <w:pPr>
        <w:pStyle w:val="3"/>
        <w:rPr>
          <w:color w:val="000000"/>
        </w:rPr>
      </w:pPr>
      <w:r>
        <w:rPr>
          <w:color w:val="000000"/>
        </w:rPr>
        <w:lastRenderedPageBreak/>
        <w:t>X. Відомості про цінні папери емітента</w:t>
      </w:r>
    </w:p>
    <w:p w:rsidR="002C3319" w:rsidRDefault="002C3319" w:rsidP="002C3319">
      <w:pPr>
        <w:pStyle w:val="4"/>
        <w:rPr>
          <w:color w:val="000000"/>
        </w:rPr>
      </w:pPr>
      <w:r>
        <w:rPr>
          <w:color w:val="000000"/>
        </w:rPr>
        <w:t>1. Інформація про випуски акцій</w:t>
      </w:r>
    </w:p>
    <w:tbl>
      <w:tblPr>
        <w:tblW w:w="5000" w:type="pct"/>
        <w:tblLook w:val="04A0"/>
      </w:tblPr>
      <w:tblGrid>
        <w:gridCol w:w="1143"/>
        <w:gridCol w:w="1367"/>
        <w:gridCol w:w="1736"/>
        <w:gridCol w:w="1903"/>
        <w:gridCol w:w="1739"/>
        <w:gridCol w:w="1721"/>
        <w:gridCol w:w="1379"/>
        <w:gridCol w:w="1216"/>
        <w:gridCol w:w="1367"/>
        <w:gridCol w:w="1404"/>
      </w:tblGrid>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08.10.2013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151/1/2013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UA0701001002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1268004515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12680045.15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100</w:t>
            </w:r>
          </w:p>
        </w:tc>
      </w:tr>
      <w:tr w:rsidR="002C3319" w:rsidTr="002C3319">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Style w:val="a6"/>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Дата видачi свiдоцтва про реєстрацiю випуску акцiй 02 грудня 2014 року.</w:t>
            </w:r>
            <w:r>
              <w:rPr>
                <w:rFonts w:eastAsia="Times New Roman"/>
                <w:color w:val="000000"/>
                <w:sz w:val="20"/>
                <w:szCs w:val="20"/>
              </w:rPr>
              <w:br/>
              <w:t>У лiстiнг фондових бiрж ЦП не включенi.</w:t>
            </w:r>
            <w:r>
              <w:rPr>
                <w:rFonts w:eastAsia="Times New Roman"/>
                <w:color w:val="000000"/>
                <w:sz w:val="20"/>
                <w:szCs w:val="20"/>
              </w:rPr>
              <w:br/>
              <w:t>Послугами рейтингового агенства Товариство не користується.</w:t>
            </w:r>
            <w:r>
              <w:rPr>
                <w:rFonts w:eastAsia="Times New Roman"/>
                <w:color w:val="000000"/>
                <w:sz w:val="20"/>
                <w:szCs w:val="20"/>
              </w:rPr>
              <w:br/>
              <w:t>Викуп власних акцiй емiтентом не здiйснювався.</w:t>
            </w:r>
            <w:r>
              <w:rPr>
                <w:rFonts w:eastAsia="Times New Roman"/>
                <w:color w:val="000000"/>
                <w:sz w:val="20"/>
                <w:szCs w:val="20"/>
              </w:rPr>
              <w:br/>
              <w:t>Акцiї простi на пред"явника,привiлейованi iменнi та привiлейованi на пред"явника не випускались та не реєструвались.</w:t>
            </w:r>
          </w:p>
        </w:tc>
      </w:tr>
      <w:tr w:rsidR="002C3319" w:rsidTr="002C3319">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w:t>
            </w:r>
          </w:p>
        </w:tc>
      </w:tr>
    </w:tbl>
    <w:p w:rsidR="002C3319" w:rsidRDefault="002C3319" w:rsidP="002C3319">
      <w:pPr>
        <w:rPr>
          <w:rFonts w:eastAsia="Times New Roman"/>
          <w:color w:val="000000"/>
        </w:rPr>
        <w:sectPr w:rsidR="002C3319">
          <w:pgSz w:w="16840" w:h="11907" w:orient="landscape"/>
          <w:pgMar w:top="1134" w:right="1134" w:bottom="851" w:left="851" w:header="0" w:footer="0" w:gutter="0"/>
          <w:cols w:space="720"/>
        </w:sectPr>
      </w:pPr>
    </w:p>
    <w:p w:rsidR="002C3319" w:rsidRDefault="002C3319" w:rsidP="002C3319">
      <w:pPr>
        <w:pStyle w:val="3"/>
        <w:rPr>
          <w:color w:val="000000"/>
        </w:rPr>
      </w:pPr>
      <w:r>
        <w:rPr>
          <w:color w:val="000000"/>
        </w:rPr>
        <w:lastRenderedPageBreak/>
        <w:t>XI. Опис бізнесу</w:t>
      </w:r>
    </w:p>
    <w:tbl>
      <w:tblPr>
        <w:tblW w:w="5000" w:type="pct"/>
        <w:tblLook w:val="04A0"/>
      </w:tblPr>
      <w:tblGrid>
        <w:gridCol w:w="10325"/>
      </w:tblGrid>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В червнi 1945 р. на базi кустарної майстренi була органiзована шфейна фабрика, яка знаходилась по вул.Миру в колишнiх житлових примiщеннях. В 1946 р. введено в дiю агрегат на 35 чоловiк по пошиву чоловiчих шерстяних костюмiв а в 1947 агрегат на 27 чоловiк по пошиву чоловiчих шерстяних брюк. В 1948 р. фабрика ввела в експлуатацiю перший конвеєр по пошиву чоловiчих костюмiв. в 1961 р. побудовано новий орпус фабрики i запущено два конвеєри: один по пошиву чоловiчих пiджакiв, другий по пошиву брюк чоловiчих х\б. Була проведена реконструкцiя експериментального, пiдготовчого i розкрiйного цехiв. В 1971 р. введено в дiю новий корпус фабрики на 2 тис.чоловiк. В 1989-1990 фабрика проводить повне технiчне переозброєння швейних цехiв по виготовленню костюмiв чоловiчих шерстяних, брюк чоловiчих. У липнi 1994 р. на фабрицi вiдбулася змiна форми власностi i вiдтодi вона носить назву: Вiдкрите акцiонерне товариство "Виноградiвське виробничо-торгiвельне швейне об'єднання "Гроно".</w:t>
            </w:r>
            <w:r>
              <w:rPr>
                <w:rFonts w:eastAsia="Times New Roman"/>
                <w:color w:val="000000"/>
              </w:rPr>
              <w:br/>
              <w:t>Рiшенням Загальних зборiв акцiонерiв, якi вiдбулися 12 жовтня 2011 року (Протокол Загальних зборiв № 2), була затверджена нова редакцiя Статуту товариства, яка була приведена у вiдповiднiсть до Закону України "Про акцiонернi товариства" i товариство визначило форму - як Публiчне акцiонерне товариства, також вiдбулась змiна найменування товариства на - Публiчне акцiонерне товариство "ГРОНО - ТЕКС", та зареєстрована 24 жовтня 2011 року.</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Робота пiдприємства здiйснюється в одну змiну. Оплата здiйснюється за погодинно-примiальною та вiдрядно-примiальною системою. На пiдприємствi функцiонує 4 швейних та 3 допомiжних (пiдготовчий, розкрiйний, експеримнтальний) цехи. Устаткування фiрм "Джукi", "Бразер" - Японiя, "Дюркопп" - Нiмеччина". Закуплено лiнiю по волого-тепловiй обробцi швейних виробiв, пресувальнi столи фiрми "Унiтед" - Угорщина, преси фiрми "Гофман" - Нiмеччина. Функцiонує САПР "Джулiвi" - для конструкторської пiдготовки та нормування виробiв. Всього нараховується 650 одиниць iмпортного устаткування..Проведена модернiзацiя складу готової продукцiї .</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 xml:space="preserve">Станом на 31 грудня 2014 року середньооблiкова чисельнiсть штатних працiвникiв облiкового складу складає 530 осiб., працюючi за цивiльно-правовими договорами—14 осiб. </w:t>
            </w:r>
            <w:r>
              <w:rPr>
                <w:rFonts w:eastAsia="Times New Roman"/>
                <w:color w:val="000000"/>
              </w:rPr>
              <w:br/>
              <w:t>Фонд оплати працi у 2013р. складав 13586,2 тис.грн.</w:t>
            </w:r>
            <w:r>
              <w:rPr>
                <w:rFonts w:eastAsia="Times New Roman"/>
                <w:color w:val="000000"/>
              </w:rPr>
              <w:br/>
              <w:t xml:space="preserve">Фонд оплати працi у 2014 роцi склав 19898,1 тис., вiдповiдно збiльшився на 46.0% у порiвняннi з минулим роком.Середньомiсячна заробiтна плата одного працiвника у 2014 роцi склала 3754 грн. </w:t>
            </w:r>
            <w:r>
              <w:rPr>
                <w:rFonts w:eastAsia="Times New Roman"/>
                <w:color w:val="000000"/>
              </w:rPr>
              <w:br/>
              <w:t>Кадрова програма товариства спрямована на пiдвищення рiвня квалiфiкацiї працiвникiв, та забезпечення її вiдповiдностi операцiйним потребам. Ведеться робота з пiдвищення квалiфiкацiї спецiалiстiв та робiтникiв безпосередньо на пiдприємствi.</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Емiтент не належить до будь-яких об"єднань пiдприємств та органiзацiй.</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Спiльну дiяльнiсть емiтент не проводить.</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Пропозицiї з боку третiх осiб щодо реорганiзацiї Товариства не поступали.</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r>
      <w:tr w:rsidR="002C3319" w:rsidTr="002C3319">
        <w:tc>
          <w:tcPr>
            <w:tcW w:w="0" w:type="auto"/>
            <w:tcMar>
              <w:top w:w="60" w:type="dxa"/>
              <w:left w:w="60" w:type="dxa"/>
              <w:bottom w:w="60" w:type="dxa"/>
              <w:right w:w="60" w:type="dxa"/>
            </w:tcMar>
            <w:hideMark/>
          </w:tcPr>
          <w:p w:rsidR="002C3319" w:rsidRDefault="002C3319">
            <w:pPr>
              <w:spacing w:after="240"/>
              <w:rPr>
                <w:rFonts w:eastAsia="Times New Roman"/>
                <w:color w:val="000000"/>
              </w:rPr>
            </w:pPr>
            <w:r>
              <w:rPr>
                <w:rFonts w:eastAsia="Times New Roman"/>
                <w:color w:val="000000"/>
              </w:rPr>
              <w:t xml:space="preserve">Фiнансова звiтнiсть пiдготовлена вiдповiдно до Мiжнародних стандартiв фiнансової звiтностi ("МСФЗ"), затвердженими Радою з Мiжнародних стандартiв бухгалтерського облiку ("РМСБО"), а також тлумаченнями, випущеними Комiтентом iз Тлумачень мiжнародної фiнансової звiтностi ("КТМФЗ"). </w:t>
            </w:r>
            <w:r>
              <w:rPr>
                <w:rFonts w:eastAsia="Times New Roman"/>
                <w:color w:val="000000"/>
              </w:rPr>
              <w:br/>
              <w:t>Фiнансова звiтнiсть Компанiї складена на основi принципiв нарахування та iсторичної собiвартостi. Випадки вiдхилення вiд указаних принципiв розкриваються у вiдповiдних роздiлах Примiток до фiнансової звiтностi.</w:t>
            </w:r>
            <w:r>
              <w:rPr>
                <w:rFonts w:eastAsia="Times New Roman"/>
                <w:color w:val="000000"/>
              </w:rPr>
              <w:br/>
            </w:r>
            <w:r>
              <w:rPr>
                <w:rFonts w:eastAsia="Times New Roman"/>
                <w:color w:val="000000"/>
              </w:rPr>
              <w:lastRenderedPageBreak/>
              <w:t>На практицi сутнiсть операцiй та iнших обставин i подiй не завжди вiдповiдає тому, що витiкає з їх юридичної форми. Компанiя органiзувала та здiйснює облiк та вiдображає господарськi операцiї та iншi подiї не тiльки згiдно їх юридичної форми, але згiдно з їх змiстом та економiчною сутнiстю.</w:t>
            </w:r>
            <w:r>
              <w:rPr>
                <w:rFonts w:eastAsia="Times New Roman"/>
                <w:color w:val="000000"/>
              </w:rPr>
              <w:br/>
              <w:t xml:space="preserve">Пiдготовка фiнансової звiтностi згiдно з МСФЗ вимагає вiд керiвництва Компанiї суджень та здiйснення оцiнок i припущень, якi впливають на застосування облiкової полiтики та суми активiв, зобов'язань, доходiв та витрат, якi визнанi у фiнансовiй звiтностi, а також на розкриття iнформацiї про умовнi активи та зобов'язання. </w:t>
            </w:r>
            <w:r>
              <w:rPr>
                <w:rFonts w:eastAsia="Times New Roman"/>
                <w:color w:val="000000"/>
              </w:rPr>
              <w:br/>
              <w:t>Оцiнки та припущення керiвництва базуються на iнформацiї, яка доступна на дату складання фiнансової звiтностi. Фактичнi результати можуть вiдрiзнятися вiд поточних оцiнок. Цi оцiнки та припущення перiодично переглядаються i, в разi необхiдностi коригувань, такi коригування вiдображаються у складi фiнансових результатiв за той перiод, в якому про них стало вiдом.</w:t>
            </w:r>
            <w:r>
              <w:rPr>
                <w:rFonts w:eastAsia="Times New Roman"/>
                <w:color w:val="000000"/>
              </w:rPr>
              <w:br/>
              <w:t xml:space="preserve">Первiсна вартiсть основних засобiв складається з вартостi їх придбання, включаючи невiдшкодованi податки на придбання, а також будь-якi витрати, пов'язанi з приведенням засобiв у робочий стан та їх доставкою до мiсця використання. </w:t>
            </w:r>
            <w:r>
              <w:rPr>
                <w:rFonts w:eastAsia="Times New Roman"/>
                <w:color w:val="000000"/>
              </w:rPr>
              <w:br/>
              <w:t>Замiни та покращення, що суттєво продовжують термiн служби активiв, капiталiзуються, а витрати на поточне обслуговування вiдображаються в складi витрат у перiод їх виникнення.</w:t>
            </w:r>
            <w:r>
              <w:rPr>
                <w:rFonts w:eastAsia="Times New Roman"/>
                <w:color w:val="000000"/>
              </w:rPr>
              <w:br/>
              <w:t xml:space="preserve">Пiсля первiсного визнання основнi засоби облiковуються по первiснiй вартостi за вирахуванням накопиченої амортизацiї та накопичених збиткiв вiд зменшення корисностi. </w:t>
            </w:r>
            <w:r>
              <w:rPr>
                <w:rFonts w:eastAsia="Times New Roman"/>
                <w:color w:val="000000"/>
              </w:rPr>
              <w:br/>
              <w:t xml:space="preserve">Незавершене будiвництво включає витрати на будiвництво й реконструкцiю основних засобiв та на незавершенi капiтальнi вкладення. Незавершене будiвництво на дату складання фiнансової звiтностi вiдображаються за собiвартiстю за вирахуванням будь яких накопичених збиткiв вiд зменшення корисностi. Незавершене будiвництво не амортизується, поки актив не буде готовий до використання. </w:t>
            </w:r>
            <w:r>
              <w:rPr>
                <w:rFonts w:eastAsia="Times New Roman"/>
                <w:color w:val="000000"/>
              </w:rPr>
              <w:br/>
              <w:t xml:space="preserve">Основнi засоби амортизуються прямолiнiйним методом протягом очiкуваного строку їх корисного використання. </w:t>
            </w:r>
            <w:r>
              <w:rPr>
                <w:rFonts w:eastAsia="Times New Roman"/>
                <w:color w:val="000000"/>
              </w:rPr>
              <w:br/>
              <w:t>Амортизацiю активу починають, коли вiн стає придатним до використання, тобто коли вiн доставлений до мiсця розташування та приведений у стан, у якому вiн придатний до експлуатацiї, але не ранiше мiсяця, наступного за мiсяцем коли об'єкт почав використовуватися (введено в експлуатацiю).</w:t>
            </w:r>
            <w:r>
              <w:rPr>
                <w:rFonts w:eastAsia="Times New Roman"/>
                <w:color w:val="000000"/>
              </w:rPr>
              <w:br/>
              <w:t>Амортизацiя iнших необоротних матерiальних активiв нараховується в наступному мiсяцi, за мiсяцем введення в експлуатацiю об’єкта в розмiрi 100% його вартостi.</w:t>
            </w:r>
            <w:r>
              <w:rPr>
                <w:rFonts w:eastAsia="Times New Roman"/>
                <w:color w:val="000000"/>
              </w:rPr>
              <w:br/>
              <w:t>Залишкова вартiсть, строк корисного використання й методи амортизацiї переглядаються й при необхiдностi коригуються наприкiнцi кожного фiнансового року.</w:t>
            </w:r>
            <w:r>
              <w:rPr>
                <w:rFonts w:eastAsia="Times New Roman"/>
                <w:color w:val="000000"/>
              </w:rPr>
              <w:br/>
              <w:t>Непохiднi фiнансовi активи з фiксованими платежами або платежами, якi пiдлягають визначенню, а також фiксованим строком погашення класифiкуються як iнвестицiї, утримуванi до погашення, якщо Компанiя має реальний намiр та здатнiсть утримувати їх до настання строку погашення. Пiсля первiсного визнання iнвестицiї, утримуванi до погашення, оцiнюються за амортизованою собiвартiстю, розрахованою за методом ефективного вiдсотка за вирахуванням збиткiв вiд зменшення корисностi. Амортизована собiвартiсть розраховується з врахуванням всiх гонорарiв та додаткових комiсiйних зборiв, якi сплаченi або отриманi сторонами контракту, витрат на операцiю та всiх iнших премiй чи дисконтiв.</w:t>
            </w:r>
            <w:r>
              <w:rPr>
                <w:rFonts w:eastAsia="Times New Roman"/>
                <w:color w:val="000000"/>
              </w:rPr>
              <w:br/>
              <w:t>Прибутки та збитки за iнвестицiями, утримуваними до погашення, вiдображуються у звiтi про прибутки та збитки при вибуттi або зменшеннi корисностi таких активiв, а також у процесi амортизацiї. Амортизацiя iз застосуванням ефективної ставки вiдсотка включається до складу фiнансових доходiв в звiтi про прибутки та збитки.</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lastRenderedPageBreak/>
              <w:t> </w:t>
            </w:r>
          </w:p>
        </w:tc>
      </w:tr>
      <w:tr w:rsidR="002C3319" w:rsidTr="002C3319">
        <w:tc>
          <w:tcPr>
            <w:tcW w:w="0" w:type="auto"/>
            <w:tcMar>
              <w:top w:w="60" w:type="dxa"/>
              <w:left w:w="60" w:type="dxa"/>
              <w:bottom w:w="60" w:type="dxa"/>
              <w:right w:w="60" w:type="dxa"/>
            </w:tcMar>
            <w:hideMark/>
          </w:tcPr>
          <w:p w:rsidR="002C3319" w:rsidRDefault="002C3319">
            <w:pPr>
              <w:spacing w:after="240"/>
              <w:rPr>
                <w:rFonts w:eastAsia="Times New Roman"/>
                <w:color w:val="000000"/>
              </w:rPr>
            </w:pPr>
            <w:r>
              <w:rPr>
                <w:rFonts w:eastAsia="Times New Roman"/>
                <w:color w:val="000000"/>
              </w:rPr>
              <w:t xml:space="preserve">ПАТ «Гроно-Текс» функцiонує у формi Публiчного акцiонерного товариства. Основним видом дiяльностi пiдприємства є пошиття одягу на умовах переробки давальницької сировини. Основним контрагентом є iноземна фiрма «ОЗЕКС» (Словакiя) яка одночасно є його основним акцiонером. Асортимент швейних виробiв: костюми чоловiчi та жiночi, штани чоловiчi та жiночi, жилети, </w:t>
            </w:r>
            <w:r>
              <w:rPr>
                <w:rFonts w:eastAsia="Times New Roman"/>
                <w:color w:val="000000"/>
              </w:rPr>
              <w:lastRenderedPageBreak/>
              <w:t xml:space="preserve">шорти, блайзери жiночi, пальто чоловiчi тощо. </w:t>
            </w:r>
            <w:r>
              <w:rPr>
                <w:rFonts w:eastAsia="Times New Roman"/>
                <w:color w:val="000000"/>
              </w:rPr>
              <w:br/>
              <w:t>Юридична та фактична адреса Компанiї ПАТ «Гроно-ТЕКС»: 90300, Закарпатська область, Виноградiвський р-н, м. Виноградiв, вул. Миру, 13.</w:t>
            </w:r>
            <w:r>
              <w:rPr>
                <w:rFonts w:eastAsia="Times New Roman"/>
                <w:color w:val="000000"/>
              </w:rPr>
              <w:br/>
              <w:t>Виробництво є незалежним вiд сезонних змiн i здiйснюється згiдно оперативного планування</w:t>
            </w:r>
            <w:r>
              <w:rPr>
                <w:rFonts w:eastAsia="Times New Roman"/>
                <w:color w:val="000000"/>
              </w:rPr>
              <w:br/>
              <w:t>У 2014 роцi ПАТ "ГРОНО-ТЕКС" працювало згiдно заключених контрактiв по наданню послуг по виготовленню швейних виробiв з давальницької сировини з фiрмами"Озекс"Словаччина", "Канда Iнтернацiонал" Нiмеччина," SAN SIPO POLAND"Польша згiдно основного виду економiчної дiяльностi" Виробництово iншого верхнього одягу".</w:t>
            </w:r>
            <w:r>
              <w:rPr>
                <w:rFonts w:eastAsia="Times New Roman"/>
                <w:color w:val="000000"/>
              </w:rPr>
              <w:br/>
              <w:t>Всього за 2014 рiк виготовлено швейних виробiв 508.9 тис.одиниць на загальну суму 41036,2 тис.гривень. на внутрiшнiй ринок продукцiя не виготовлялася. Реалiзовано швейних виробiв на суму 40207.6 тис. гривень.</w:t>
            </w:r>
            <w:r>
              <w:rPr>
                <w:rFonts w:eastAsia="Times New Roman"/>
                <w:color w:val="000000"/>
              </w:rPr>
              <w:br/>
              <w:t>Випуск швейних виробiв в розрiзi асортименту:</w:t>
            </w:r>
            <w:r>
              <w:rPr>
                <w:rFonts w:eastAsia="Times New Roman"/>
                <w:color w:val="000000"/>
              </w:rPr>
              <w:br/>
              <w:t xml:space="preserve">Асортимент:Пiджаки чоловiчi , Брюки чоловiчi, Пальта, Брюки жiночi . </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lastRenderedPageBreak/>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На протязi п"яти рокiв акцiонерне товариство: придбало основних засобiв на суму 560 тис.грн. Вибуло основних засобiв на суму 17 тис.грн., знос яких становить майже 85%.</w:t>
            </w:r>
            <w:r>
              <w:rPr>
                <w:rFonts w:eastAsia="Times New Roman"/>
                <w:color w:val="000000"/>
              </w:rPr>
              <w:br/>
              <w:t>В зв'язку з фiнансово-економiчною кризою Товариство не планує здiйснювати значнi iнвестицiї на придбання основних засобiв.</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Згiдно Протоколу № 2 Загальних зборiв акцiонерiв вiд 04 грудня 2012 року прийнято рiшення про збiльшення розмiру статутного капiталу за рахунок додаткових внескiв акцiонерiв шляхом приватного (закритого) розмiщення простих iменних акцiй у бездокументарнiй формi iснування.</w:t>
            </w:r>
            <w:r>
              <w:rPr>
                <w:rFonts w:eastAsia="Times New Roman"/>
                <w:color w:val="000000"/>
              </w:rPr>
              <w:br/>
              <w:t>На позачергових загальних зборах 22 серпня 2014 року затверджено результати приватного розмiщення акцiй.</w:t>
            </w:r>
            <w:r>
              <w:rPr>
                <w:rFonts w:eastAsia="Times New Roman"/>
                <w:color w:val="000000"/>
              </w:rPr>
              <w:br/>
              <w:t>Загальна сума внесених коштiв в сплату статутного фонду складала 850 000,00 євро, що становить 9 254 055,65 грн. Еквiвалент у гривнi вiдображено по курсу НБУ на дату здiйснення операцiї (поступлення коштiв).</w:t>
            </w:r>
            <w:r>
              <w:rPr>
                <w:rFonts w:eastAsia="Times New Roman"/>
                <w:color w:val="000000"/>
              </w:rPr>
              <w:br/>
              <w:t>Статутний капiтал Товариства повнiстю сплачений. Розмiру статутного фонду (капiталу) ПАТ «Гроно-Текс», вiдображений в Балансi, вiдповiдає установчим документам – 12 680 045,15 грн.</w:t>
            </w:r>
            <w:r>
              <w:rPr>
                <w:rFonts w:eastAsia="Times New Roman"/>
                <w:color w:val="000000"/>
              </w:rPr>
              <w:br/>
              <w:t>Видано свiдоцтво про реєстрацiю випуску акцiй НКЦПФР за № 1518/1/2013 дата реєстрацiї 08.10.2013р. , дата видачi 02.12.2014р.</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Основнi засоби розташованi за адресою:: 90300, Закарпатська область, Виноградiвський р-н, м. Виноградiв, вул. Миру, 13.</w:t>
            </w:r>
            <w:r>
              <w:rPr>
                <w:rFonts w:eastAsia="Times New Roman"/>
                <w:color w:val="000000"/>
              </w:rPr>
              <w:br/>
              <w:t xml:space="preserve">Облiк основних засобiв в основному вiдповiдають критерiям визнання за МСБО 16 «Основнi засоби». </w:t>
            </w:r>
            <w:r>
              <w:rPr>
                <w:rFonts w:eastAsia="Times New Roman"/>
                <w:color w:val="000000"/>
              </w:rPr>
              <w:br/>
              <w:t>Станом на 31.12.2014 року на балансових рахунках пiдприємства фiнансових вкладень у статутнi капiтали iнших пiдприємств не рахується. Купiвля, продаж цiнних паперiв iнших пiдприємств за звiтний перiод не вiдбувалось.</w:t>
            </w:r>
            <w:r>
              <w:rPr>
                <w:rFonts w:eastAsia="Times New Roman"/>
                <w:color w:val="000000"/>
              </w:rPr>
              <w:br/>
              <w:t xml:space="preserve">Обмежень щодо використання майна на кiнець звiтного перiоду не має. </w:t>
            </w:r>
            <w:r>
              <w:rPr>
                <w:rFonts w:eastAsia="Times New Roman"/>
                <w:color w:val="000000"/>
              </w:rPr>
              <w:br/>
              <w:t>Щодо планiв капiтального будiвництва у товариства на ближчi 3 роки вiдсутнi.</w:t>
            </w:r>
            <w:r>
              <w:rPr>
                <w:rFonts w:eastAsia="Times New Roman"/>
                <w:color w:val="000000"/>
              </w:rPr>
              <w:br/>
              <w:t xml:space="preserve">Дiяльнiсть товариства здiйснюється вiдповiдно до законодавства України про охорону навколишнього середовища </w:t>
            </w:r>
            <w:r>
              <w:rPr>
                <w:rFonts w:eastAsia="Times New Roman"/>
                <w:color w:val="000000"/>
              </w:rPr>
              <w:br/>
              <w:t xml:space="preserve">Станом на 31.12.2014 року первiсна вартiсть основних засобiв становила 34632 тис. грн. </w:t>
            </w:r>
            <w:r>
              <w:rPr>
                <w:rFonts w:eastAsia="Times New Roman"/>
                <w:color w:val="000000"/>
              </w:rPr>
              <w:br/>
              <w:t>Коефiцiєнт зносу основних засобiв дорiвнює 45.3 %. Такий рiвень зносу свiдчить про те, що основнi засоби на пiдприємствi знаходяться у задовiльному станi</w:t>
            </w:r>
            <w:r>
              <w:rPr>
                <w:rFonts w:eastAsia="Times New Roman"/>
                <w:color w:val="000000"/>
              </w:rPr>
              <w:br/>
              <w:t>Процент зносу основних засобiв по групам виробничого призначення:</w:t>
            </w:r>
            <w:r>
              <w:rPr>
                <w:rFonts w:eastAsia="Times New Roman"/>
                <w:color w:val="000000"/>
              </w:rPr>
              <w:br/>
              <w:t>будiвлi i споруди - ___25___ %</w:t>
            </w:r>
            <w:r>
              <w:rPr>
                <w:rFonts w:eastAsia="Times New Roman"/>
                <w:color w:val="000000"/>
              </w:rPr>
              <w:br/>
              <w:t>машини i обладнання __40__ %</w:t>
            </w:r>
            <w:r>
              <w:rPr>
                <w:rFonts w:eastAsia="Times New Roman"/>
                <w:color w:val="000000"/>
              </w:rPr>
              <w:br/>
            </w:r>
            <w:r>
              <w:rPr>
                <w:rFonts w:eastAsia="Times New Roman"/>
                <w:color w:val="000000"/>
              </w:rPr>
              <w:lastRenderedPageBreak/>
              <w:t>транспортнi засоби -____50____ %</w:t>
            </w:r>
            <w:r>
              <w:rPr>
                <w:rFonts w:eastAsia="Times New Roman"/>
                <w:color w:val="000000"/>
              </w:rPr>
              <w:br/>
              <w:t>iншi - __50____%</w:t>
            </w:r>
            <w:r>
              <w:rPr>
                <w:rFonts w:eastAsia="Times New Roman"/>
                <w:color w:val="000000"/>
              </w:rPr>
              <w:br/>
              <w:t>Обмежень на використання майна немає.</w:t>
            </w:r>
            <w:r>
              <w:rPr>
                <w:rFonts w:eastAsia="Times New Roman"/>
                <w:color w:val="000000"/>
              </w:rPr>
              <w:br/>
              <w:t xml:space="preserve">Такий рiвень зносу свiдчить про те , що основнi засоби на пiдприємствi знаходяться в задовiльному станi.Це обладнання,яке потребує деякого ремонту або замiни окремих дрiбних запчастин. </w:t>
            </w:r>
            <w:r>
              <w:rPr>
                <w:rFonts w:eastAsia="Times New Roman"/>
                <w:color w:val="000000"/>
              </w:rPr>
              <w:br/>
              <w:t>За звiтний переод придбано основних засобiв на суму1753,0 тис.грн., вибуло у зв’язку з непридатнiстю на суму 34.0 тис.грн, реалiзовано на суму 44,0 тис. грн.</w:t>
            </w:r>
            <w:r>
              <w:rPr>
                <w:rFonts w:eastAsia="Times New Roman"/>
                <w:color w:val="000000"/>
              </w:rPr>
              <w:br/>
              <w:t>Обмежень на використання майна не має.</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lastRenderedPageBreak/>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Одна з найважливiших проблем, яка суттєво впливає на дiяльнiсть пiдприємства - податковий. Розмiр податкiв вiдчутно зменшує прибуток пiдприємства, а це впливає на стимул виробляти бiльше продукцiї та пошук нових споживачiв, крiм того:</w:t>
            </w:r>
            <w:r>
              <w:rPr>
                <w:rFonts w:eastAsia="Times New Roman"/>
                <w:color w:val="000000"/>
              </w:rPr>
              <w:br/>
              <w:t>- нестабiльнiсть законодавства що регулює дiяльнiсть,</w:t>
            </w:r>
            <w:r>
              <w:rPr>
                <w:rFonts w:eastAsia="Times New Roman"/>
                <w:color w:val="000000"/>
              </w:rPr>
              <w:br/>
              <w:t>- вiдсутнiсть стабiльних ринкiв збуту,</w:t>
            </w:r>
            <w:r>
              <w:rPr>
                <w:rFonts w:eastAsia="Times New Roman"/>
                <w:color w:val="000000"/>
              </w:rPr>
              <w:br/>
              <w:t>- низька платоспроможнiсть населення.</w:t>
            </w:r>
            <w:r>
              <w:rPr>
                <w:rFonts w:eastAsia="Times New Roman"/>
                <w:color w:val="000000"/>
              </w:rPr>
              <w:br/>
              <w:t>Компанiя стикається iз кредитним ризиком, який визначається як ризик того, що контрагент не зможе погасити суму заборгованостi в повному обсязi при настаннi строку погашення. Максимальний рiвень кредитного ризику Компанiї, в цiлому, вiдображається в балансовiй вартостi фiнансових активiв, яка наведена в звiтi про фiнансовий стан. Вплив можливих взаємозалiкiв активiв i зобов'язань на зменшення потенцiйного кредитного ризику незначний. Резерви на знецiнення створюються для покриття збиткiв, якi можуть бути понесенi на звiтну дату (при їх наявностi).</w:t>
            </w:r>
            <w:r>
              <w:rPr>
                <w:rFonts w:eastAsia="Times New Roman"/>
                <w:color w:val="000000"/>
              </w:rPr>
              <w:br/>
              <w:t xml:space="preserve">Полiтика Компанiї по управлiнню кредитним ризиком спрямована на те, щоб здiйснювати господарськi операцiї з контрагентами, якi мають позитивну репутацiю та кредитну iсторiю. Окрiм того, постiйно здiйснюється монiторинг дебiторської заборгованостi. У Компанiї немає суттєвої концентрацiї кредитного ризику. </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За звiтний перiод пiдприємство виплатило 6.4 тис.грн. штрафiв .</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Товариство фiнансує свою дiяльнiсть за рахунок власних обiгових коштiв та банкiвських кредитiв та вiдстрочення платежiв перед постачальниками обладнання на умовах розстрочення.</w:t>
            </w:r>
            <w:r>
              <w:rPr>
                <w:rFonts w:eastAsia="Times New Roman"/>
                <w:color w:val="000000"/>
              </w:rPr>
              <w:br/>
              <w:t>Квалiфiкованого робочого капiталу достатньо. Але для забезпечення висококвалiфiкованої робочої сили залученi iноземнi спецiалiсти.</w:t>
            </w:r>
            <w:r>
              <w:rPr>
                <w:rFonts w:eastAsia="Times New Roman"/>
                <w:color w:val="000000"/>
              </w:rPr>
              <w:br/>
              <w:t>Дотацiй та iнвестицiй у звiтному перiодi не отримувало.</w:t>
            </w:r>
            <w:r>
              <w:rPr>
                <w:rFonts w:eastAsia="Times New Roman"/>
                <w:color w:val="000000"/>
              </w:rPr>
              <w:br/>
              <w:t xml:space="preserve">Ризик лiквiдностi – це ризик того, що Компанiя може зiткнутися з труднощами при погашеннi своїх фiнансових зобов'язань. </w:t>
            </w:r>
            <w:r>
              <w:rPr>
                <w:rFonts w:eastAsia="Times New Roman"/>
                <w:color w:val="000000"/>
              </w:rPr>
              <w:br/>
              <w:t>Причиною зростання рiвня ризику лiквiдностi може стати суттєва невiдповiднiсть мiж термiнами погашення фiнансових активiв та фiнансових зобов'язань у випадку коли, термiни погашення фiнансових активiв перевищують термiни погашення фiнансових зобов'язань.</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За звiтний перiод товариство виконало всi укладенi договори.</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Прогнози та плани:</w:t>
            </w:r>
            <w:r>
              <w:rPr>
                <w:rFonts w:eastAsia="Times New Roman"/>
                <w:color w:val="000000"/>
              </w:rPr>
              <w:br/>
              <w:t>- збiльшення обсягiв виробництва,</w:t>
            </w:r>
            <w:r>
              <w:rPr>
                <w:rFonts w:eastAsia="Times New Roman"/>
                <w:color w:val="000000"/>
              </w:rPr>
              <w:br/>
              <w:t>- розширення ринкiв збуту товарiв.</w:t>
            </w:r>
            <w:r>
              <w:rPr>
                <w:rFonts w:eastAsia="Times New Roman"/>
                <w:color w:val="000000"/>
              </w:rPr>
              <w:br/>
              <w:t>- полiпшення фiнансового стану товариства.</w:t>
            </w:r>
            <w:r>
              <w:rPr>
                <w:rFonts w:eastAsia="Times New Roman"/>
                <w:color w:val="000000"/>
              </w:rPr>
              <w:br/>
              <w:t>Для покращення роботи товариства необхiдне стабiльне податкове законодавства, покращення iнвестицiйного клiмату, пiдвищення рiвня життя населення.</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lastRenderedPageBreak/>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Пiдприємство не здiйснювало розробок та дослiджень</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Судовi справи вiдсутнi.</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r>
      <w:tr w:rsidR="002C3319" w:rsidTr="002C3319">
        <w:tc>
          <w:tcPr>
            <w:tcW w:w="0" w:type="auto"/>
            <w:tcMar>
              <w:top w:w="60" w:type="dxa"/>
              <w:left w:w="60" w:type="dxa"/>
              <w:bottom w:w="60" w:type="dxa"/>
              <w:right w:w="60" w:type="dxa"/>
            </w:tcMar>
            <w:hideMark/>
          </w:tcPr>
          <w:p w:rsidR="002C3319" w:rsidRDefault="002C3319">
            <w:pPr>
              <w:rPr>
                <w:rFonts w:eastAsia="Times New Roman"/>
                <w:color w:val="000000"/>
              </w:rPr>
            </w:pPr>
            <w:r>
              <w:rPr>
                <w:rFonts w:eastAsia="Times New Roman"/>
                <w:color w:val="000000"/>
              </w:rPr>
              <w:t>Товариство у 2012-2013 збиткове, 2014 отримано чистий прибуток.</w:t>
            </w:r>
            <w:r>
              <w:rPr>
                <w:rFonts w:eastAsia="Times New Roman"/>
                <w:color w:val="000000"/>
              </w:rPr>
              <w:br/>
              <w:t xml:space="preserve">Вiдповiдно Аудиторської думки щодо фiнансової звiтностi Публiчного акцiонерного товариства </w:t>
            </w:r>
            <w:r>
              <w:rPr>
                <w:rFonts w:eastAsia="Times New Roman"/>
                <w:color w:val="000000"/>
              </w:rPr>
              <w:br/>
              <w:t>«Гроно-Текс» 2014 рiк:</w:t>
            </w:r>
            <w:r>
              <w:rPr>
                <w:rFonts w:eastAsia="Times New Roman"/>
                <w:color w:val="000000"/>
              </w:rPr>
              <w:br/>
              <w:t xml:space="preserve">Висновок немодифiкований – безумовно позитивна думка. </w:t>
            </w:r>
            <w:r>
              <w:rPr>
                <w:rFonts w:eastAsia="Times New Roman"/>
                <w:color w:val="000000"/>
              </w:rPr>
              <w:br/>
              <w:t>Фiнансова звiтнiсть вiдображає достовiрно в усiх суттєвих аспектах фiнансовий стан Публiчного акцiонерного товариства «Гроно-Текс» за 2014 рiк, в складi Балансу (Звiту про фiнансовий стан) - форма №1, Звiту про фiнансовi результати (Звiту про сукупний дохiд) - форма №2, Звiту про рух грошових коштiв (за прямим методом) - форма №3, Звiту про власний капiтал - форма №4, Примiток до рiчної фiнансової звiтностi, важливих аспектiв облiкової полiтики та вiдповiдає вимогам Закону України «Про бухгалтерський облiк та фiнансову звiтнiсть в Українi» вiд 16 липня 1999 року №996-ХIV та Мiжнародним стандартам фiнансової звiтностi.</w:t>
            </w:r>
          </w:p>
        </w:tc>
      </w:tr>
    </w:tbl>
    <w:p w:rsidR="002C3319" w:rsidRDefault="002C3319" w:rsidP="002C3319">
      <w:pPr>
        <w:rPr>
          <w:rFonts w:eastAsia="Times New Roman"/>
          <w:color w:val="000000"/>
        </w:rPr>
        <w:sectPr w:rsidR="002C3319">
          <w:pgSz w:w="11907" w:h="16840"/>
          <w:pgMar w:top="1134" w:right="851" w:bottom="851" w:left="851" w:header="0" w:footer="0" w:gutter="0"/>
          <w:cols w:space="720"/>
        </w:sectPr>
      </w:pPr>
    </w:p>
    <w:p w:rsidR="002C3319" w:rsidRDefault="002C3319" w:rsidP="002C3319">
      <w:pPr>
        <w:pStyle w:val="3"/>
        <w:rPr>
          <w:color w:val="000000"/>
        </w:rPr>
      </w:pPr>
      <w:r>
        <w:rPr>
          <w:color w:val="000000"/>
        </w:rPr>
        <w:lastRenderedPageBreak/>
        <w:t>XII. Інформація про господарську та фінансову діяльність емітента</w:t>
      </w:r>
    </w:p>
    <w:p w:rsidR="002C3319" w:rsidRDefault="002C3319" w:rsidP="002C3319">
      <w:pPr>
        <w:pStyle w:val="4"/>
        <w:rPr>
          <w:color w:val="000000"/>
        </w:rPr>
      </w:pPr>
      <w:r>
        <w:rPr>
          <w:color w:val="000000"/>
        </w:rPr>
        <w:t>13.1. Інформація про основні засоби емітента (за залишковою вартістю)</w:t>
      </w:r>
    </w:p>
    <w:tbl>
      <w:tblPr>
        <w:tblW w:w="5000" w:type="pct"/>
        <w:tblLook w:val="04A0"/>
      </w:tblPr>
      <w:tblGrid>
        <w:gridCol w:w="2068"/>
        <w:gridCol w:w="1434"/>
        <w:gridCol w:w="1319"/>
        <w:gridCol w:w="1433"/>
        <w:gridCol w:w="1319"/>
        <w:gridCol w:w="1433"/>
        <w:gridCol w:w="1319"/>
      </w:tblGrid>
      <w:tr w:rsidR="002C3319" w:rsidTr="002C331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2C3319" w:rsidTr="002C33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 кінець періоду</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18204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18808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18204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1808</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10592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11092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10592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11092</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7125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7320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7125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7320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380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132</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115</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17</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18350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18940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18350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18940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Станом на 31.12.2014 року первiсна вартiсть основних засобiв становила 34632 тис. грн. </w:t>
            </w:r>
            <w:r>
              <w:rPr>
                <w:rFonts w:eastAsia="Times New Roman"/>
                <w:color w:val="000000"/>
                <w:sz w:val="20"/>
                <w:szCs w:val="20"/>
              </w:rPr>
              <w:br/>
              <w:t>Коефiцiєнт зносу основних засобiв дорiвнює 45.3 %. Такий рiвень зносу свiдчить про те, що основнi засоби на пiдприємствi знаходяться у задовiльному станi</w:t>
            </w:r>
            <w:r>
              <w:rPr>
                <w:rFonts w:eastAsia="Times New Roman"/>
                <w:color w:val="000000"/>
                <w:sz w:val="20"/>
                <w:szCs w:val="20"/>
              </w:rPr>
              <w:br/>
              <w:t>Процент зносу основних засобiв по групам виробничого призначення:</w:t>
            </w:r>
            <w:r>
              <w:rPr>
                <w:rFonts w:eastAsia="Times New Roman"/>
                <w:color w:val="000000"/>
                <w:sz w:val="20"/>
                <w:szCs w:val="20"/>
              </w:rPr>
              <w:br/>
              <w:t>будiвлi i споруди - ___25___ %</w:t>
            </w:r>
            <w:r>
              <w:rPr>
                <w:rFonts w:eastAsia="Times New Roman"/>
                <w:color w:val="000000"/>
                <w:sz w:val="20"/>
                <w:szCs w:val="20"/>
              </w:rPr>
              <w:br/>
              <w:t>машини i обладнання __40__ %</w:t>
            </w:r>
            <w:r>
              <w:rPr>
                <w:rFonts w:eastAsia="Times New Roman"/>
                <w:color w:val="000000"/>
                <w:sz w:val="20"/>
                <w:szCs w:val="20"/>
              </w:rPr>
              <w:br/>
              <w:t>транспортнi засоби -____50____ %</w:t>
            </w:r>
            <w:r>
              <w:rPr>
                <w:rFonts w:eastAsia="Times New Roman"/>
                <w:color w:val="000000"/>
                <w:sz w:val="20"/>
                <w:szCs w:val="20"/>
              </w:rPr>
              <w:br/>
              <w:t>iншi - __50____%</w:t>
            </w:r>
            <w:r>
              <w:rPr>
                <w:rFonts w:eastAsia="Times New Roman"/>
                <w:color w:val="000000"/>
                <w:sz w:val="20"/>
                <w:szCs w:val="20"/>
              </w:rPr>
              <w:br/>
              <w:t>Обмежень на використання майна немає.</w:t>
            </w:r>
            <w:r>
              <w:rPr>
                <w:rFonts w:eastAsia="Times New Roman"/>
                <w:color w:val="000000"/>
                <w:sz w:val="20"/>
                <w:szCs w:val="20"/>
              </w:rPr>
              <w:br/>
              <w:t>За звiтний переод придбано основних засобiв на суму 1753,0 тис.грн., вибуло у зв’язку з непридатнiстю на суму 34.0 тис.грн, реалiзовано на суму 44,0 тис. грн.</w:t>
            </w:r>
          </w:p>
        </w:tc>
      </w:tr>
    </w:tbl>
    <w:p w:rsidR="002C3319" w:rsidRDefault="002C3319" w:rsidP="002C3319">
      <w:pPr>
        <w:pStyle w:val="4"/>
        <w:rPr>
          <w:color w:val="000000"/>
        </w:rPr>
      </w:pPr>
      <w:r>
        <w:rPr>
          <w:color w:val="000000"/>
        </w:rPr>
        <w:t>2. Інформація щодо вартості чистих активів емітента</w:t>
      </w:r>
    </w:p>
    <w:tbl>
      <w:tblPr>
        <w:tblW w:w="5000" w:type="pct"/>
        <w:tblLook w:val="04A0"/>
      </w:tblPr>
      <w:tblGrid>
        <w:gridCol w:w="2058"/>
        <w:gridCol w:w="3717"/>
        <w:gridCol w:w="4550"/>
      </w:tblGrid>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13460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12581</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12680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12680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Розрахункова вартiсть чистих активiв бiльше статутного капiталу . Це вiдповiдає вимогам статтi 155 п.3 Цивiльного кодексу України.</w:t>
            </w:r>
          </w:p>
        </w:tc>
      </w:tr>
    </w:tbl>
    <w:p w:rsidR="002C3319" w:rsidRDefault="002C3319" w:rsidP="002C3319">
      <w:pPr>
        <w:pStyle w:val="4"/>
        <w:rPr>
          <w:color w:val="000000"/>
        </w:rPr>
      </w:pPr>
      <w:r>
        <w:rPr>
          <w:color w:val="000000"/>
        </w:rPr>
        <w:lastRenderedPageBreak/>
        <w:t>3. Інформація про зобов'язання емітента</w:t>
      </w:r>
    </w:p>
    <w:tbl>
      <w:tblPr>
        <w:tblW w:w="5000" w:type="pct"/>
        <w:tblLook w:val="04A0"/>
      </w:tblPr>
      <w:tblGrid>
        <w:gridCol w:w="3284"/>
        <w:gridCol w:w="1391"/>
        <w:gridCol w:w="1923"/>
        <w:gridCol w:w="2447"/>
        <w:gridCol w:w="1280"/>
      </w:tblGrid>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Дата погашення</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782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9929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10711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Довгострокових фiнансових зобов"язання та вiдстрочених податкових зобов"язань немає. Короткострокових та довгострокових кредитiв немає. </w:t>
            </w:r>
          </w:p>
        </w:tc>
      </w:tr>
    </w:tbl>
    <w:p w:rsidR="002C3319" w:rsidRDefault="002C3319" w:rsidP="002C3319">
      <w:pPr>
        <w:pStyle w:val="4"/>
        <w:rPr>
          <w:color w:val="000000"/>
        </w:rPr>
      </w:pPr>
      <w:r>
        <w:rPr>
          <w:color w:val="000000"/>
        </w:rPr>
        <w:t>4. Інформація про обсяги виробництва та реалізації основних видів продукції</w:t>
      </w:r>
    </w:p>
    <w:tbl>
      <w:tblPr>
        <w:tblW w:w="5000" w:type="pct"/>
        <w:tblLook w:val="04A0"/>
      </w:tblPr>
      <w:tblGrid>
        <w:gridCol w:w="600"/>
        <w:gridCol w:w="1199"/>
        <w:gridCol w:w="1555"/>
        <w:gridCol w:w="1182"/>
        <w:gridCol w:w="1468"/>
        <w:gridCol w:w="1555"/>
        <w:gridCol w:w="1178"/>
        <w:gridCol w:w="1588"/>
      </w:tblGrid>
      <w:tr w:rsidR="002C3319" w:rsidTr="002C3319">
        <w:tc>
          <w:tcPr>
            <w:tcW w:w="6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 з/п</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Основний вид продукції</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Обсяг виробництва</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Обсяг реалізованої продукції</w:t>
            </w:r>
          </w:p>
        </w:tc>
      </w:tr>
      <w:tr w:rsidR="002C3319" w:rsidTr="002C33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у грошовій формі (тис.грн.)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у відсотках до всієї виробленої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у грошовій формі (тіс.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у відсотках до всієї реалізованої продукції</w:t>
            </w:r>
          </w:p>
        </w:tc>
      </w:tr>
      <w:tr w:rsidR="002C3319" w:rsidTr="002C3319">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8</w:t>
            </w:r>
          </w:p>
        </w:tc>
      </w:tr>
      <w:tr w:rsidR="002C3319" w:rsidTr="002C3319">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Пiджаки чоловiчi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21868.3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53.29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132.5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21423.1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53.28</w:t>
            </w:r>
          </w:p>
        </w:tc>
      </w:tr>
      <w:tr w:rsidR="002C3319" w:rsidTr="002C3319">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Брюки чоловiчi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18987.1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364.2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18603.7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46.27</w:t>
            </w:r>
          </w:p>
        </w:tc>
      </w:tr>
      <w:tr w:rsidR="002C3319" w:rsidTr="002C3319">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Пальта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78.5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78.5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0.20</w:t>
            </w:r>
          </w:p>
        </w:tc>
      </w:tr>
      <w:tr w:rsidR="002C3319" w:rsidTr="002C3319">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Брюки жiночi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0.25</w:t>
            </w:r>
          </w:p>
        </w:tc>
      </w:tr>
    </w:tbl>
    <w:p w:rsidR="002C3319" w:rsidRDefault="002C3319" w:rsidP="002C3319">
      <w:pPr>
        <w:pStyle w:val="4"/>
        <w:rPr>
          <w:color w:val="000000"/>
        </w:rPr>
      </w:pPr>
      <w:r>
        <w:rPr>
          <w:color w:val="000000"/>
        </w:rPr>
        <w:t>5. Інформація про собівартість реалізованої продукції</w:t>
      </w:r>
    </w:p>
    <w:tbl>
      <w:tblPr>
        <w:tblW w:w="5000" w:type="pct"/>
        <w:tblLook w:val="04A0"/>
      </w:tblPr>
      <w:tblGrid>
        <w:gridCol w:w="750"/>
        <w:gridCol w:w="3001"/>
        <w:gridCol w:w="6574"/>
      </w:tblGrid>
      <w:tr w:rsidR="002C3319" w:rsidTr="002C331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Відсоток від загальної собівартості реалізованої продукції (у відсотках)</w:t>
            </w:r>
          </w:p>
        </w:tc>
      </w:tr>
      <w:tr w:rsidR="002C3319" w:rsidTr="002C331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w:t>
            </w:r>
          </w:p>
        </w:tc>
      </w:tr>
      <w:tr w:rsidR="002C3319" w:rsidTr="002C331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Матерiальнi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12.82</w:t>
            </w:r>
          </w:p>
        </w:tc>
      </w:tr>
      <w:tr w:rsidR="002C3319" w:rsidTr="002C331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Витрати на оплату працi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57.56</w:t>
            </w:r>
          </w:p>
        </w:tc>
      </w:tr>
      <w:tr w:rsidR="002C3319" w:rsidTr="002C331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Вiдрахування на соцiальнi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20.67</w:t>
            </w:r>
          </w:p>
        </w:tc>
      </w:tr>
      <w:tr w:rsidR="002C3319" w:rsidTr="002C331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Амортизацiя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3.26</w:t>
            </w:r>
          </w:p>
        </w:tc>
      </w:tr>
      <w:tr w:rsidR="002C3319" w:rsidTr="002C3319">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Iншi операцiйнi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5.69</w:t>
            </w:r>
          </w:p>
        </w:tc>
      </w:tr>
    </w:tbl>
    <w:p w:rsidR="002C3319" w:rsidRDefault="002C3319" w:rsidP="002C3319">
      <w:pPr>
        <w:pStyle w:val="small-text"/>
        <w:rPr>
          <w:color w:val="000000"/>
        </w:rPr>
      </w:pPr>
      <w:r>
        <w:rPr>
          <w:color w:val="000000"/>
        </w:rPr>
        <w:t xml:space="preserve">* Зазначаються витрати, які складають більше 5% від собівартості реалізованої продукції. </w:t>
      </w:r>
    </w:p>
    <w:p w:rsidR="002C3319" w:rsidRDefault="002C3319" w:rsidP="002C3319">
      <w:pPr>
        <w:rPr>
          <w:rFonts w:eastAsia="Times New Roman"/>
          <w:color w:val="000000"/>
        </w:rPr>
        <w:sectPr w:rsidR="002C3319">
          <w:pgSz w:w="11907" w:h="16840"/>
          <w:pgMar w:top="1134" w:right="851" w:bottom="851" w:left="851" w:header="0" w:footer="0" w:gutter="0"/>
          <w:cols w:space="720"/>
        </w:sectPr>
      </w:pPr>
    </w:p>
    <w:p w:rsidR="002C3319" w:rsidRDefault="002C3319" w:rsidP="002C3319">
      <w:pPr>
        <w:pStyle w:val="3"/>
        <w:rPr>
          <w:color w:val="000000"/>
        </w:rPr>
      </w:pPr>
      <w:r>
        <w:rPr>
          <w:color w:val="000000"/>
        </w:rPr>
        <w:lastRenderedPageBreak/>
        <w:t>XIV. Відомості щодо особливої інформації та інформації про іпотечні цінні папери, що виникала протягом періоду</w:t>
      </w:r>
    </w:p>
    <w:tbl>
      <w:tblPr>
        <w:tblW w:w="5000" w:type="pct"/>
        <w:tblLook w:val="04A0"/>
      </w:tblPr>
      <w:tblGrid>
        <w:gridCol w:w="1662"/>
        <w:gridCol w:w="6007"/>
        <w:gridCol w:w="2656"/>
      </w:tblGrid>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Вид інформації</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30.04.2014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05.05.2014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xml:space="preserve">Відомості про зміну складу посадових осіб емітента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31.10.2014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03.11.2014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xml:space="preserve">Відомості про зміну складу посадових осіб емітента </w:t>
            </w:r>
          </w:p>
        </w:tc>
      </w:tr>
    </w:tbl>
    <w:p w:rsidR="002C3319" w:rsidRDefault="002C3319" w:rsidP="002C3319">
      <w:pPr>
        <w:pStyle w:val="4"/>
        <w:rPr>
          <w:color w:val="000000"/>
        </w:rPr>
      </w:pPr>
      <w:r>
        <w:rPr>
          <w:color w:val="000000"/>
        </w:rPr>
        <w:t>XVI. Текст аудиторського висновку (звіту).</w:t>
      </w:r>
    </w:p>
    <w:tbl>
      <w:tblPr>
        <w:tblW w:w="5000" w:type="pct"/>
        <w:tblLook w:val="04A0"/>
      </w:tblPr>
      <w:tblGrid>
        <w:gridCol w:w="7496"/>
        <w:gridCol w:w="2829"/>
      </w:tblGrid>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ТОВ «Аудиторська компанiя Закарпат-Бiзнес-Консалтiнг»</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33360313</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Закарпатська обл. м. Мукачево, вул. Валенберга,29/2</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3556 30.03.2005</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Дв Дв Дв Дв</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spacing w:after="240"/>
              <w:jc w:val="center"/>
              <w:rPr>
                <w:rFonts w:eastAsia="Times New Roman"/>
                <w:color w:val="000000"/>
                <w:sz w:val="20"/>
                <w:szCs w:val="20"/>
              </w:rPr>
            </w:pPr>
            <w:r>
              <w:rPr>
                <w:rFonts w:eastAsia="Times New Roman"/>
                <w:color w:val="000000"/>
                <w:sz w:val="20"/>
                <w:szCs w:val="20"/>
              </w:rPr>
              <w:t xml:space="preserve">Аудиторський висновок </w:t>
            </w:r>
            <w:r>
              <w:rPr>
                <w:rFonts w:eastAsia="Times New Roman"/>
                <w:color w:val="000000"/>
                <w:sz w:val="20"/>
                <w:szCs w:val="20"/>
              </w:rPr>
              <w:br/>
              <w:t>(звiт незалежної аудиторської компанiї ТОВ «АК Закарпат-Бiзнес-Консалтiнг»)</w:t>
            </w:r>
            <w:r>
              <w:rPr>
                <w:rFonts w:eastAsia="Times New Roman"/>
                <w:color w:val="000000"/>
                <w:sz w:val="20"/>
                <w:szCs w:val="20"/>
              </w:rPr>
              <w:br/>
              <w:t xml:space="preserve">щодо фiнансової звiтностi Публiчного акцiонерного товариства </w:t>
            </w:r>
            <w:r>
              <w:rPr>
                <w:rFonts w:eastAsia="Times New Roman"/>
                <w:color w:val="000000"/>
                <w:sz w:val="20"/>
                <w:szCs w:val="20"/>
              </w:rPr>
              <w:br/>
              <w:t>«Гроно-Текс» 2014 рiк</w:t>
            </w:r>
            <w:r>
              <w:rPr>
                <w:rFonts w:eastAsia="Times New Roman"/>
                <w:color w:val="000000"/>
                <w:sz w:val="20"/>
                <w:szCs w:val="20"/>
              </w:rPr>
              <w:br/>
              <w:t>цей висновок адресується:</w:t>
            </w:r>
            <w:r>
              <w:rPr>
                <w:rFonts w:eastAsia="Times New Roman"/>
                <w:color w:val="000000"/>
                <w:sz w:val="20"/>
                <w:szCs w:val="20"/>
              </w:rPr>
              <w:br/>
              <w:t>акцiонерам, керiвництву, iншим користувачам звiтностi</w:t>
            </w:r>
            <w:r>
              <w:rPr>
                <w:rFonts w:eastAsia="Times New Roman"/>
                <w:color w:val="000000"/>
                <w:sz w:val="20"/>
                <w:szCs w:val="20"/>
              </w:rPr>
              <w:br/>
              <w:t>Публiчного акцiонерного товариства «Гроно-Текс»</w:t>
            </w:r>
            <w:r>
              <w:rPr>
                <w:rFonts w:eastAsia="Times New Roman"/>
                <w:color w:val="000000"/>
                <w:sz w:val="20"/>
                <w:szCs w:val="20"/>
              </w:rPr>
              <w:br/>
              <w:t>код за ЄДРПОУ 00309134</w:t>
            </w:r>
            <w:r>
              <w:rPr>
                <w:rFonts w:eastAsia="Times New Roman"/>
                <w:color w:val="000000"/>
                <w:sz w:val="20"/>
                <w:szCs w:val="20"/>
              </w:rPr>
              <w:br/>
              <w:t>Мiсцезнаходження: 90300, Закарпатська область, Виноградiв, вул. Миру,13</w:t>
            </w:r>
            <w:r>
              <w:rPr>
                <w:rFonts w:eastAsia="Times New Roman"/>
                <w:color w:val="000000"/>
                <w:sz w:val="20"/>
                <w:szCs w:val="20"/>
              </w:rPr>
              <w:br/>
              <w:t>Виписка з єдиного державного реєстру: Серiя ААБ №153662 вiд 24.10.2011 року.</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ЗМIСТ</w:t>
            </w:r>
            <w:r>
              <w:rPr>
                <w:rFonts w:eastAsia="Times New Roman"/>
                <w:color w:val="000000"/>
                <w:sz w:val="20"/>
                <w:szCs w:val="20"/>
              </w:rPr>
              <w:br/>
              <w:t>Аудиторський висновок 2</w:t>
            </w:r>
            <w:r>
              <w:rPr>
                <w:rFonts w:eastAsia="Times New Roman"/>
                <w:color w:val="000000"/>
                <w:sz w:val="20"/>
                <w:szCs w:val="20"/>
              </w:rPr>
              <w:br/>
              <w:t>Звiт про сукупнi доходи 4</w:t>
            </w:r>
            <w:r>
              <w:rPr>
                <w:rFonts w:eastAsia="Times New Roman"/>
                <w:color w:val="000000"/>
                <w:sz w:val="20"/>
                <w:szCs w:val="20"/>
              </w:rPr>
              <w:br/>
              <w:t>Звiт про фiнансовий стан 5</w:t>
            </w:r>
            <w:r>
              <w:rPr>
                <w:rFonts w:eastAsia="Times New Roman"/>
                <w:color w:val="000000"/>
                <w:sz w:val="20"/>
                <w:szCs w:val="20"/>
              </w:rPr>
              <w:br/>
              <w:t>Звiт про рух грошових коштiв 6</w:t>
            </w:r>
            <w:r>
              <w:rPr>
                <w:rFonts w:eastAsia="Times New Roman"/>
                <w:color w:val="000000"/>
                <w:sz w:val="20"/>
                <w:szCs w:val="20"/>
              </w:rPr>
              <w:br/>
              <w:t>Звiт про змiни у власному капiталi 7</w:t>
            </w:r>
            <w:r>
              <w:rPr>
                <w:rFonts w:eastAsia="Times New Roman"/>
                <w:color w:val="000000"/>
                <w:sz w:val="20"/>
                <w:szCs w:val="20"/>
              </w:rPr>
              <w:br/>
              <w:t>Примiтки до фiнансової звiтностi та важливi аспекти облiкової полiтики 8</w:t>
            </w:r>
            <w:r>
              <w:rPr>
                <w:rFonts w:eastAsia="Times New Roman"/>
                <w:color w:val="000000"/>
                <w:sz w:val="20"/>
                <w:szCs w:val="20"/>
              </w:rPr>
              <w:br/>
            </w:r>
            <w:r>
              <w:rPr>
                <w:rFonts w:eastAsia="Times New Roman"/>
                <w:color w:val="000000"/>
                <w:sz w:val="20"/>
                <w:szCs w:val="20"/>
              </w:rPr>
              <w:br/>
              <w:t>Аудиторський висновок</w:t>
            </w:r>
            <w:r>
              <w:rPr>
                <w:rFonts w:eastAsia="Times New Roman"/>
                <w:color w:val="000000"/>
                <w:sz w:val="20"/>
                <w:szCs w:val="20"/>
              </w:rPr>
              <w:br/>
              <w:t>(звiт незалежної аудиторської компанiї ТОВ «АК Закарпат-Бiзнес-Консалтiнг»)</w:t>
            </w:r>
            <w:r>
              <w:rPr>
                <w:rFonts w:eastAsia="Times New Roman"/>
                <w:color w:val="000000"/>
                <w:sz w:val="20"/>
                <w:szCs w:val="20"/>
              </w:rPr>
              <w:br/>
              <w:t xml:space="preserve">щодо фiнансової звiтностi Публiчного акцiонерного товариства </w:t>
            </w:r>
            <w:r>
              <w:rPr>
                <w:rFonts w:eastAsia="Times New Roman"/>
                <w:color w:val="000000"/>
                <w:sz w:val="20"/>
                <w:szCs w:val="20"/>
              </w:rPr>
              <w:br/>
              <w:t>«Гроно-Текс» 2014 рiк</w:t>
            </w:r>
            <w:r>
              <w:rPr>
                <w:rFonts w:eastAsia="Times New Roman"/>
                <w:color w:val="000000"/>
                <w:sz w:val="20"/>
                <w:szCs w:val="20"/>
              </w:rPr>
              <w:br/>
            </w:r>
            <w:r>
              <w:rPr>
                <w:rFonts w:eastAsia="Times New Roman"/>
                <w:color w:val="000000"/>
                <w:sz w:val="20"/>
                <w:szCs w:val="20"/>
              </w:rPr>
              <w:br/>
              <w:t>Вступ</w:t>
            </w:r>
            <w:r>
              <w:rPr>
                <w:rFonts w:eastAsia="Times New Roman"/>
                <w:color w:val="000000"/>
                <w:sz w:val="20"/>
                <w:szCs w:val="20"/>
              </w:rPr>
              <w:br/>
              <w:t xml:space="preserve">Незалежною Аудиторською компанiєю "ЗАКАРПАТ-БIЗНЕС-КОНСАЛТIНГ" (далi за текстом – "ми", або "аудитори") на пiдставi свiдоцтва про внесення до Реєстру аудиторських фiрм та аудиторiв, якi одноособово надають аудиторськi послуги, №3556, виданого за рiшенням Аудиторської палати України вiд 31 березня 2005 року за № 147/3 та договору на проведення аудиту № А19 вiд 17 березня 2015 року, з 23 березня 2015 р. по 08 квiтня 2015 р., проведено аудиторську перевiрку фiнансової звiтностi Публiчного акцiонерного товариства «Гроно-Текс» (далi – "товариство" або "компанiя") за 2014 рiк в складi Балансу (Звiту про фiнансовий стан) - форма №1 станом на 31.12.2014 р.,, Звiту про фiнансовi результати (Звiту про сукупний дохiд) - форма №2 за 2014р., Звiту про рух грошових коштiв (за прямим методом) - форма №3 за 2014р., Звiту про власний капiтал - форма №4 за 2014р., Примiток до рiчної фiнансової </w:t>
            </w:r>
            <w:r>
              <w:rPr>
                <w:rFonts w:eastAsia="Times New Roman"/>
                <w:color w:val="000000"/>
                <w:sz w:val="20"/>
                <w:szCs w:val="20"/>
              </w:rPr>
              <w:lastRenderedPageBreak/>
              <w:t xml:space="preserve">звiтностi, важливих аспектiв облiкової полiтики. Звiтнiсть пiдготовлено бухгалтерською службою Товариства у вiдповiдностi iз принципами її складання викладеними в Законi України "Про бухгалтерський облiк та фiнансову звiтнiсть в Українi" вiд 16 липня 1999 року №996-ХIV, Мiжнародних стандартiв фiнансової звiтностi ("надалi по тексту - МСФЗ"). </w:t>
            </w:r>
            <w:r>
              <w:rPr>
                <w:rFonts w:eastAsia="Times New Roman"/>
                <w:color w:val="000000"/>
                <w:sz w:val="20"/>
                <w:szCs w:val="20"/>
              </w:rPr>
              <w:br/>
              <w:t>Вiдповiдальнiсть управлiнського персоналу за фiнансовий звiт</w:t>
            </w:r>
            <w:r>
              <w:rPr>
                <w:rFonts w:eastAsia="Times New Roman"/>
                <w:color w:val="000000"/>
                <w:sz w:val="20"/>
                <w:szCs w:val="20"/>
              </w:rPr>
              <w:br/>
              <w:t xml:space="preserve">Керiвництво компанiї несе вiдповiдальнiсть за складання i достовiрне подання цiєї фiнансової звiтностi згiдно з вимогами Мiжнародних стандартiв фiнансової звiтностi, якi мають вiдношення до складання зазначеної фiнансової звiтностi, та за такий внутрiшнiй контроль, який управлiнський персонал визначає потрiбним для того, щоб забезпечити складання фiнансової звiтностi, яка не мiстить суттєвих викривлень внаслiдок шахрайства або помилки. </w:t>
            </w:r>
            <w:r>
              <w:rPr>
                <w:rFonts w:eastAsia="Times New Roman"/>
                <w:color w:val="000000"/>
                <w:sz w:val="20"/>
                <w:szCs w:val="20"/>
              </w:rPr>
              <w:br/>
              <w:t>Вiдповiдальнiсть аудитора</w:t>
            </w:r>
            <w:r>
              <w:rPr>
                <w:rFonts w:eastAsia="Times New Roman"/>
                <w:color w:val="000000"/>
                <w:sz w:val="20"/>
                <w:szCs w:val="20"/>
              </w:rPr>
              <w:br/>
              <w:t xml:space="preserve">Нашою вiдповiдальнiстю є висловлення думки щодо цiєї фiнансової звiтностi на основi результатiв нашого аудиту. Ми провели аудит вiдповiдно до Мiжнародних стандартiв аудиту. Цi стандарти вимагають вiд нас дотримання вiдповiдних етичних вимог, а також планування й виконання аудиту для отримання достатньої впевненостi, що фiнансовi звiти не мiстять суттєвих викривлень. </w:t>
            </w:r>
            <w:r>
              <w:rPr>
                <w:rFonts w:eastAsia="Times New Roman"/>
                <w:color w:val="000000"/>
                <w:sz w:val="20"/>
                <w:szCs w:val="20"/>
              </w:rPr>
              <w:br/>
              <w:t xml:space="preserve">Аудит передбачає виконання процедур для отримання аудиторських доказiв щодо сум i розкриття у фiнансових звiтах. Вибiр процедур залежить вiд судження аудитора, включаючи оцiнку ризикiв суттєвих викривлень фiнансових звiтiв внаслiдок шахрайства або помилки. Виконуючи оцiнку цих ризикiв, аудитор розглядає заходи внутрiшнього контролю, що стосуються складання та достовiрного подання суб’єктом господарювання фiнансового звiту,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вiдповiдностi використаної облiкової полiтики, прийнятнiсть облiкових оцiнок, зроблених управлiнським персоналом, та оцiнку загального подання фiнансового звiту. </w:t>
            </w:r>
            <w:r>
              <w:rPr>
                <w:rFonts w:eastAsia="Times New Roman"/>
                <w:color w:val="000000"/>
                <w:sz w:val="20"/>
                <w:szCs w:val="20"/>
              </w:rPr>
              <w:br/>
              <w:t xml:space="preserve">Ми вважаємо, що отримали достатнi i прийнятнi аудиторськi докази для висловлення нашої думки. </w:t>
            </w:r>
            <w:r>
              <w:rPr>
                <w:rFonts w:eastAsia="Times New Roman"/>
                <w:color w:val="000000"/>
                <w:sz w:val="20"/>
                <w:szCs w:val="20"/>
              </w:rPr>
              <w:br/>
              <w:t>Аудиторська думка</w:t>
            </w:r>
            <w:r>
              <w:rPr>
                <w:rFonts w:eastAsia="Times New Roman"/>
                <w:color w:val="000000"/>
                <w:sz w:val="20"/>
                <w:szCs w:val="20"/>
              </w:rPr>
              <w:br/>
              <w:t>Висновок немодифiкований – безумовно позитивна думка. На нашу думку, фiнансова звiтнiсть вiдображає достовiрно в усiх суттєвих аспектах фiнансовий стан Публiчного акцiонерного товариства «Гроно-Текс» за 2014 рiк, в складi Балансу (Звiту про фiнансовий стан) - форма №1, Звiту про фiнансовi результати (Звiту про сукупний дохiд) - форма №2, Звiту про рух грошових коштiв (за прямим методом) - форма №3, Звiту про власний капiтал - форма №4, Примiток до рiчної фiнансової звiтностi, важливих аспектiв облiкової полiтики та вiдповiдає вимогам Закону України «Про бухгалтерський облiк та фiнансову звiтнiсть в Українi» вiд 16 липня 1999 року №996-ХIV та Мiжнародним стандартам фiнансової звiтностi.</w:t>
            </w:r>
            <w:r>
              <w:rPr>
                <w:rFonts w:eastAsia="Times New Roman"/>
                <w:color w:val="000000"/>
                <w:sz w:val="20"/>
                <w:szCs w:val="20"/>
              </w:rPr>
              <w:br/>
              <w:t>До цього висновку додається наступна iнформацiя:</w:t>
            </w:r>
            <w:r>
              <w:rPr>
                <w:rFonts w:eastAsia="Times New Roman"/>
                <w:color w:val="000000"/>
                <w:sz w:val="20"/>
                <w:szCs w:val="20"/>
              </w:rPr>
              <w:br/>
              <w:t>• Звiт про сукупнi доходи</w:t>
            </w:r>
            <w:r>
              <w:rPr>
                <w:rFonts w:eastAsia="Times New Roman"/>
                <w:color w:val="000000"/>
                <w:sz w:val="20"/>
                <w:szCs w:val="20"/>
              </w:rPr>
              <w:br/>
              <w:t>• Звiт про фiнансовий стан</w:t>
            </w:r>
            <w:r>
              <w:rPr>
                <w:rFonts w:eastAsia="Times New Roman"/>
                <w:color w:val="000000"/>
                <w:sz w:val="20"/>
                <w:szCs w:val="20"/>
              </w:rPr>
              <w:br/>
              <w:t>• Звiт про рух грошових коштiв</w:t>
            </w:r>
            <w:r>
              <w:rPr>
                <w:rFonts w:eastAsia="Times New Roman"/>
                <w:color w:val="000000"/>
                <w:sz w:val="20"/>
                <w:szCs w:val="20"/>
              </w:rPr>
              <w:br/>
              <w:t>• Звiт про змiни у власному капiталi</w:t>
            </w:r>
            <w:r>
              <w:rPr>
                <w:rFonts w:eastAsia="Times New Roman"/>
                <w:color w:val="000000"/>
                <w:sz w:val="20"/>
                <w:szCs w:val="20"/>
              </w:rPr>
              <w:br/>
              <w:t>• Примiтки до фiнансової звiтностi та важливi аспекти облiкової полiтики</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Директор</w:t>
            </w:r>
            <w:r>
              <w:rPr>
                <w:rFonts w:eastAsia="Times New Roman"/>
                <w:color w:val="000000"/>
                <w:sz w:val="20"/>
                <w:szCs w:val="20"/>
              </w:rPr>
              <w:br/>
              <w:t>ТОВ "АК ЗАКАРПАТ-БIЗНЕС-КОНСАЛТIНГ"</w:t>
            </w:r>
            <w:r>
              <w:rPr>
                <w:rFonts w:eastAsia="Times New Roman"/>
                <w:color w:val="000000"/>
                <w:sz w:val="20"/>
                <w:szCs w:val="20"/>
              </w:rPr>
              <w:br/>
            </w:r>
            <w:r>
              <w:rPr>
                <w:rFonts w:eastAsia="Times New Roman"/>
                <w:color w:val="000000"/>
                <w:sz w:val="20"/>
                <w:szCs w:val="20"/>
              </w:rPr>
              <w:br/>
              <w:t>Голубка Я.В. _________________ Дата аудиторського висновку - 08.04.2015 р.</w:t>
            </w:r>
            <w:r>
              <w:rPr>
                <w:rFonts w:eastAsia="Times New Roman"/>
                <w:color w:val="000000"/>
                <w:sz w:val="20"/>
                <w:szCs w:val="20"/>
              </w:rPr>
              <w:br/>
              <w:t>(сертифiкат Серiя А № 005892</w:t>
            </w:r>
            <w:r>
              <w:rPr>
                <w:rFonts w:eastAsia="Times New Roman"/>
                <w:color w:val="000000"/>
                <w:sz w:val="20"/>
                <w:szCs w:val="20"/>
              </w:rPr>
              <w:br/>
              <w:t>виданий згiдно рiшення АПУ №143 вiд 17.01.05 р.,</w:t>
            </w:r>
            <w:r>
              <w:rPr>
                <w:rFonts w:eastAsia="Times New Roman"/>
                <w:color w:val="000000"/>
                <w:sz w:val="20"/>
                <w:szCs w:val="20"/>
              </w:rPr>
              <w:br/>
              <w:t>продовжено згiдно рiшення АПУ № 307/3 29.01.2015р. до 29.01.2020 р.)</w:t>
            </w:r>
            <w:r>
              <w:rPr>
                <w:rFonts w:eastAsia="Times New Roman"/>
                <w:color w:val="000000"/>
                <w:sz w:val="20"/>
                <w:szCs w:val="20"/>
              </w:rPr>
              <w:br/>
              <w:t>89600 Україна, Закарпатська область, м.Мукачево, вул. Валенберга 29/2</w:t>
            </w:r>
            <w:r>
              <w:rPr>
                <w:rFonts w:eastAsia="Times New Roman"/>
                <w:color w:val="000000"/>
                <w:sz w:val="20"/>
                <w:szCs w:val="20"/>
              </w:rPr>
              <w:br/>
            </w:r>
            <w:r>
              <w:rPr>
                <w:rFonts w:eastAsia="Times New Roman"/>
                <w:color w:val="000000"/>
                <w:sz w:val="20"/>
                <w:szCs w:val="20"/>
              </w:rPr>
              <w:br/>
              <w:t>ЗВIТ ПРО СУКУПНI ДОХОДИ</w:t>
            </w:r>
            <w:r>
              <w:rPr>
                <w:rFonts w:eastAsia="Times New Roman"/>
                <w:color w:val="000000"/>
                <w:sz w:val="20"/>
                <w:szCs w:val="20"/>
              </w:rPr>
              <w:br/>
              <w:t>За рiк, що закiнчився 31 грудня 2014 року</w:t>
            </w:r>
            <w:r>
              <w:rPr>
                <w:rFonts w:eastAsia="Times New Roman"/>
                <w:color w:val="000000"/>
                <w:sz w:val="20"/>
                <w:szCs w:val="20"/>
              </w:rPr>
              <w:br/>
              <w:t>(в тисячах гривень, якщо не зазначено iнше)</w:t>
            </w:r>
            <w:r>
              <w:rPr>
                <w:rFonts w:eastAsia="Times New Roman"/>
                <w:color w:val="000000"/>
                <w:sz w:val="20"/>
                <w:szCs w:val="20"/>
              </w:rPr>
              <w:br/>
            </w:r>
            <w:r>
              <w:rPr>
                <w:rFonts w:eastAsia="Times New Roman"/>
                <w:color w:val="000000"/>
                <w:sz w:val="20"/>
                <w:szCs w:val="20"/>
              </w:rPr>
              <w:br/>
              <w:t>Примiтки 2014 2013</w:t>
            </w:r>
            <w:r>
              <w:rPr>
                <w:rFonts w:eastAsia="Times New Roman"/>
                <w:color w:val="000000"/>
                <w:sz w:val="20"/>
                <w:szCs w:val="20"/>
              </w:rPr>
              <w:br/>
            </w:r>
            <w:r>
              <w:rPr>
                <w:rFonts w:eastAsia="Times New Roman"/>
                <w:color w:val="000000"/>
                <w:sz w:val="20"/>
                <w:szCs w:val="20"/>
              </w:rPr>
              <w:br/>
              <w:t>Чистий дохiд вiд реалiзацiї 7 40208 25898</w:t>
            </w:r>
            <w:r>
              <w:rPr>
                <w:rFonts w:eastAsia="Times New Roman"/>
                <w:color w:val="000000"/>
                <w:sz w:val="20"/>
                <w:szCs w:val="20"/>
              </w:rPr>
              <w:br/>
              <w:t>Собiвартiсть реалiзацiї 8 (32466) (23553)</w:t>
            </w:r>
            <w:r>
              <w:rPr>
                <w:rFonts w:eastAsia="Times New Roman"/>
                <w:color w:val="000000"/>
                <w:sz w:val="20"/>
                <w:szCs w:val="20"/>
              </w:rPr>
              <w:br/>
              <w:t>Валовий прибуток 7742 2345</w:t>
            </w:r>
            <w:r>
              <w:rPr>
                <w:rFonts w:eastAsia="Times New Roman"/>
                <w:color w:val="000000"/>
                <w:sz w:val="20"/>
                <w:szCs w:val="20"/>
              </w:rPr>
              <w:br/>
            </w:r>
            <w:r>
              <w:rPr>
                <w:rFonts w:eastAsia="Times New Roman"/>
                <w:color w:val="000000"/>
                <w:sz w:val="20"/>
                <w:szCs w:val="20"/>
              </w:rPr>
              <w:br/>
              <w:t>Iншi операцiйнi доходи 11 1795 1268</w:t>
            </w:r>
            <w:r>
              <w:rPr>
                <w:rFonts w:eastAsia="Times New Roman"/>
                <w:color w:val="000000"/>
                <w:sz w:val="20"/>
                <w:szCs w:val="20"/>
              </w:rPr>
              <w:br/>
              <w:t>Адмiнiстративнi витрати 9 (2405) (1725)</w:t>
            </w:r>
            <w:r>
              <w:rPr>
                <w:rFonts w:eastAsia="Times New Roman"/>
                <w:color w:val="000000"/>
                <w:sz w:val="20"/>
                <w:szCs w:val="20"/>
              </w:rPr>
              <w:br/>
              <w:t>Витрати на збут 10 (239) (213)</w:t>
            </w:r>
            <w:r>
              <w:rPr>
                <w:rFonts w:eastAsia="Times New Roman"/>
                <w:color w:val="000000"/>
                <w:sz w:val="20"/>
                <w:szCs w:val="20"/>
              </w:rPr>
              <w:br/>
              <w:t>Iншi операцiйнi витрати 11 (5794) (2211)</w:t>
            </w:r>
            <w:r>
              <w:rPr>
                <w:rFonts w:eastAsia="Times New Roman"/>
                <w:color w:val="000000"/>
                <w:sz w:val="20"/>
                <w:szCs w:val="20"/>
              </w:rPr>
              <w:br/>
              <w:t>Операцiйний прибуток (збиток) 1099 (536)</w:t>
            </w:r>
            <w:r>
              <w:rPr>
                <w:rFonts w:eastAsia="Times New Roman"/>
                <w:color w:val="000000"/>
                <w:sz w:val="20"/>
                <w:szCs w:val="20"/>
              </w:rPr>
              <w:br/>
            </w:r>
            <w:r>
              <w:rPr>
                <w:rFonts w:eastAsia="Times New Roman"/>
                <w:color w:val="000000"/>
                <w:sz w:val="20"/>
                <w:szCs w:val="20"/>
              </w:rPr>
              <w:lastRenderedPageBreak/>
              <w:br/>
              <w:t>Фiнансовi доходи 12 1 -</w:t>
            </w:r>
            <w:r>
              <w:rPr>
                <w:rFonts w:eastAsia="Times New Roman"/>
                <w:color w:val="000000"/>
                <w:sz w:val="20"/>
                <w:szCs w:val="20"/>
              </w:rPr>
              <w:br/>
              <w:t>Фiнансовi витрати 12 (28) (130)</w:t>
            </w:r>
            <w:r>
              <w:rPr>
                <w:rFonts w:eastAsia="Times New Roman"/>
                <w:color w:val="000000"/>
                <w:sz w:val="20"/>
                <w:szCs w:val="20"/>
              </w:rPr>
              <w:br/>
              <w:t>Iншi доходи 13 - -</w:t>
            </w:r>
            <w:r>
              <w:rPr>
                <w:rFonts w:eastAsia="Times New Roman"/>
                <w:color w:val="000000"/>
                <w:sz w:val="20"/>
                <w:szCs w:val="20"/>
              </w:rPr>
              <w:br/>
              <w:t>Iншi витрати 13 - (1)</w:t>
            </w:r>
            <w:r>
              <w:rPr>
                <w:rFonts w:eastAsia="Times New Roman"/>
                <w:color w:val="000000"/>
                <w:sz w:val="20"/>
                <w:szCs w:val="20"/>
              </w:rPr>
              <w:br/>
              <w:t>Прибуток (збиток) до оподаткування 1072 (667)</w:t>
            </w:r>
            <w:r>
              <w:rPr>
                <w:rFonts w:eastAsia="Times New Roman"/>
                <w:color w:val="000000"/>
                <w:sz w:val="20"/>
                <w:szCs w:val="20"/>
              </w:rPr>
              <w:br/>
            </w:r>
            <w:r>
              <w:rPr>
                <w:rFonts w:eastAsia="Times New Roman"/>
                <w:color w:val="000000"/>
                <w:sz w:val="20"/>
                <w:szCs w:val="20"/>
              </w:rPr>
              <w:br/>
              <w:t>Витрати з податку на прибуток 14 (193) (148)</w:t>
            </w:r>
            <w:r>
              <w:rPr>
                <w:rFonts w:eastAsia="Times New Roman"/>
                <w:color w:val="000000"/>
                <w:sz w:val="20"/>
                <w:szCs w:val="20"/>
              </w:rPr>
              <w:br/>
              <w:t>Чистий прибуток (збиток) за перiод 879 (815)</w:t>
            </w:r>
            <w:r>
              <w:rPr>
                <w:rFonts w:eastAsia="Times New Roman"/>
                <w:color w:val="000000"/>
                <w:sz w:val="20"/>
                <w:szCs w:val="20"/>
              </w:rPr>
              <w:br/>
            </w:r>
            <w:r>
              <w:rPr>
                <w:rFonts w:eastAsia="Times New Roman"/>
                <w:color w:val="000000"/>
                <w:sz w:val="20"/>
                <w:szCs w:val="20"/>
              </w:rPr>
              <w:br/>
              <w:t>Iнший сукупний дохiд - -</w:t>
            </w:r>
            <w:r>
              <w:rPr>
                <w:rFonts w:eastAsia="Times New Roman"/>
                <w:color w:val="000000"/>
                <w:sz w:val="20"/>
                <w:szCs w:val="20"/>
              </w:rPr>
              <w:br/>
              <w:t>Переоцiнка основних засобiв - -</w:t>
            </w:r>
            <w:r>
              <w:rPr>
                <w:rFonts w:eastAsia="Times New Roman"/>
                <w:color w:val="000000"/>
                <w:sz w:val="20"/>
                <w:szCs w:val="20"/>
              </w:rPr>
              <w:br/>
              <w:t>Iнший сукупний дохiд, пiсля оподаткування - -</w:t>
            </w:r>
            <w:r>
              <w:rPr>
                <w:rFonts w:eastAsia="Times New Roman"/>
                <w:color w:val="000000"/>
                <w:sz w:val="20"/>
                <w:szCs w:val="20"/>
              </w:rPr>
              <w:br/>
              <w:t>Сукупний дохiд за перiод, пiсля оподаткування 879 (815)</w:t>
            </w:r>
            <w:r>
              <w:rPr>
                <w:rFonts w:eastAsia="Times New Roman"/>
                <w:color w:val="000000"/>
                <w:sz w:val="20"/>
                <w:szCs w:val="20"/>
              </w:rPr>
              <w:br/>
              <w:t xml:space="preserve">Прибуток на акцiю: </w:t>
            </w:r>
            <w:r>
              <w:rPr>
                <w:rFonts w:eastAsia="Times New Roman"/>
                <w:color w:val="000000"/>
                <w:sz w:val="20"/>
                <w:szCs w:val="20"/>
              </w:rPr>
              <w:br/>
              <w:t>Базовий та понижений 0,00007 -0,00006</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______________________________________________</w:t>
            </w:r>
            <w:r>
              <w:rPr>
                <w:rFonts w:eastAsia="Times New Roman"/>
                <w:color w:val="000000"/>
                <w:sz w:val="20"/>
                <w:szCs w:val="20"/>
              </w:rPr>
              <w:br/>
              <w:t>(Пiдпис) ______________________________________________</w:t>
            </w:r>
            <w:r>
              <w:rPr>
                <w:rFonts w:eastAsia="Times New Roman"/>
                <w:color w:val="000000"/>
                <w:sz w:val="20"/>
                <w:szCs w:val="20"/>
              </w:rPr>
              <w:br/>
              <w:t>(Пiдпис)</w:t>
            </w:r>
            <w:r>
              <w:rPr>
                <w:rFonts w:eastAsia="Times New Roman"/>
                <w:color w:val="000000"/>
                <w:sz w:val="20"/>
                <w:szCs w:val="20"/>
              </w:rPr>
              <w:br/>
              <w:t>Директор / Лакатош I.В.</w:t>
            </w:r>
            <w:r>
              <w:rPr>
                <w:rFonts w:eastAsia="Times New Roman"/>
                <w:color w:val="000000"/>
                <w:sz w:val="20"/>
                <w:szCs w:val="20"/>
              </w:rPr>
              <w:br/>
              <w:t>(Посада / П.I.Б.) Головний бухгалтер /Боршош Н.I.</w:t>
            </w:r>
            <w:r>
              <w:rPr>
                <w:rFonts w:eastAsia="Times New Roman"/>
                <w:color w:val="000000"/>
                <w:sz w:val="20"/>
                <w:szCs w:val="20"/>
              </w:rPr>
              <w:br/>
              <w:t>(Посада / П.I.Б.)</w:t>
            </w:r>
            <w:r>
              <w:rPr>
                <w:rFonts w:eastAsia="Times New Roman"/>
                <w:color w:val="000000"/>
                <w:sz w:val="20"/>
                <w:szCs w:val="20"/>
              </w:rPr>
              <w:br/>
              <w:t>М.П.</w:t>
            </w:r>
            <w:r>
              <w:rPr>
                <w:rFonts w:eastAsia="Times New Roman"/>
                <w:color w:val="000000"/>
                <w:sz w:val="20"/>
                <w:szCs w:val="20"/>
              </w:rPr>
              <w:br/>
            </w:r>
            <w:r>
              <w:rPr>
                <w:rFonts w:eastAsia="Times New Roman"/>
                <w:color w:val="000000"/>
                <w:sz w:val="20"/>
                <w:szCs w:val="20"/>
              </w:rPr>
              <w:br/>
              <w:t>ЗВIТ ПРО ФIНАНСОВИЙ СТАН</w:t>
            </w:r>
            <w:r>
              <w:rPr>
                <w:rFonts w:eastAsia="Times New Roman"/>
                <w:color w:val="000000"/>
                <w:sz w:val="20"/>
                <w:szCs w:val="20"/>
              </w:rPr>
              <w:br/>
              <w:t>на 31 грудня 2014 року</w:t>
            </w:r>
            <w:r>
              <w:rPr>
                <w:rFonts w:eastAsia="Times New Roman"/>
                <w:color w:val="000000"/>
                <w:sz w:val="20"/>
                <w:szCs w:val="20"/>
              </w:rPr>
              <w:br/>
              <w:t>(в тисячах гривень, якщо не зазначено iнше)</w:t>
            </w:r>
            <w:r>
              <w:rPr>
                <w:rFonts w:eastAsia="Times New Roman"/>
                <w:color w:val="000000"/>
                <w:sz w:val="20"/>
                <w:szCs w:val="20"/>
              </w:rPr>
              <w:br/>
            </w:r>
            <w:r>
              <w:rPr>
                <w:rFonts w:eastAsia="Times New Roman"/>
                <w:color w:val="000000"/>
                <w:sz w:val="20"/>
                <w:szCs w:val="20"/>
              </w:rPr>
              <w:br/>
              <w:t>Примiтки 31.12.2014 31.12.2013</w:t>
            </w:r>
            <w:r>
              <w:rPr>
                <w:rFonts w:eastAsia="Times New Roman"/>
                <w:color w:val="000000"/>
                <w:sz w:val="20"/>
                <w:szCs w:val="20"/>
              </w:rPr>
              <w:br/>
              <w:t xml:space="preserve">АКТИВИ </w:t>
            </w:r>
            <w:r>
              <w:rPr>
                <w:rFonts w:eastAsia="Times New Roman"/>
                <w:color w:val="000000"/>
                <w:sz w:val="20"/>
                <w:szCs w:val="20"/>
              </w:rPr>
              <w:br/>
            </w:r>
            <w:r>
              <w:rPr>
                <w:rFonts w:eastAsia="Times New Roman"/>
                <w:color w:val="000000"/>
                <w:sz w:val="20"/>
                <w:szCs w:val="20"/>
              </w:rPr>
              <w:br/>
              <w:t xml:space="preserve">Необоротнi активи </w:t>
            </w:r>
            <w:r>
              <w:rPr>
                <w:rFonts w:eastAsia="Times New Roman"/>
                <w:color w:val="000000"/>
                <w:sz w:val="20"/>
                <w:szCs w:val="20"/>
              </w:rPr>
              <w:br/>
              <w:t>Основнi засоби 15 18940 18350</w:t>
            </w:r>
            <w:r>
              <w:rPr>
                <w:rFonts w:eastAsia="Times New Roman"/>
                <w:color w:val="000000"/>
                <w:sz w:val="20"/>
                <w:szCs w:val="20"/>
              </w:rPr>
              <w:br/>
              <w:t>Нематерiальнi активи 70 -</w:t>
            </w:r>
            <w:r>
              <w:rPr>
                <w:rFonts w:eastAsia="Times New Roman"/>
                <w:color w:val="000000"/>
                <w:sz w:val="20"/>
                <w:szCs w:val="20"/>
              </w:rPr>
              <w:br/>
              <w:t>Вiдстроченi податковi активи 101 126</w:t>
            </w:r>
            <w:r>
              <w:rPr>
                <w:rFonts w:eastAsia="Times New Roman"/>
                <w:color w:val="000000"/>
                <w:sz w:val="20"/>
                <w:szCs w:val="20"/>
              </w:rPr>
              <w:br/>
              <w:t>Довгостроковi фiнансовi iнвестицiї 5 5</w:t>
            </w:r>
            <w:r>
              <w:rPr>
                <w:rFonts w:eastAsia="Times New Roman"/>
                <w:color w:val="000000"/>
                <w:sz w:val="20"/>
                <w:szCs w:val="20"/>
              </w:rPr>
              <w:br/>
              <w:t>19116 18481</w:t>
            </w:r>
            <w:r>
              <w:rPr>
                <w:rFonts w:eastAsia="Times New Roman"/>
                <w:color w:val="000000"/>
                <w:sz w:val="20"/>
                <w:szCs w:val="20"/>
              </w:rPr>
              <w:br/>
              <w:t xml:space="preserve">Оборотнi активи </w:t>
            </w:r>
            <w:r>
              <w:rPr>
                <w:rFonts w:eastAsia="Times New Roman"/>
                <w:color w:val="000000"/>
                <w:sz w:val="20"/>
                <w:szCs w:val="20"/>
              </w:rPr>
              <w:br/>
              <w:t>Запаси 16 1681 1153</w:t>
            </w:r>
            <w:r>
              <w:rPr>
                <w:rFonts w:eastAsia="Times New Roman"/>
                <w:color w:val="000000"/>
                <w:sz w:val="20"/>
                <w:szCs w:val="20"/>
              </w:rPr>
              <w:br/>
              <w:t>Торгова дебiторська заборгованiсть 17 1337 768</w:t>
            </w:r>
            <w:r>
              <w:rPr>
                <w:rFonts w:eastAsia="Times New Roman"/>
                <w:color w:val="000000"/>
                <w:sz w:val="20"/>
                <w:szCs w:val="20"/>
              </w:rPr>
              <w:br/>
              <w:t>Дебiторська заборгованiсть з бюджетом 19 576 300</w:t>
            </w:r>
            <w:r>
              <w:rPr>
                <w:rFonts w:eastAsia="Times New Roman"/>
                <w:color w:val="000000"/>
                <w:sz w:val="20"/>
                <w:szCs w:val="20"/>
              </w:rPr>
              <w:br/>
              <w:t>Iнша дебiторська заборгованiсть 17 680 260</w:t>
            </w:r>
            <w:r>
              <w:rPr>
                <w:rFonts w:eastAsia="Times New Roman"/>
                <w:color w:val="000000"/>
                <w:sz w:val="20"/>
                <w:szCs w:val="20"/>
              </w:rPr>
              <w:br/>
              <w:t>Грошовi кошти та їх еквiваленти 20 781 58</w:t>
            </w:r>
            <w:r>
              <w:rPr>
                <w:rFonts w:eastAsia="Times New Roman"/>
                <w:color w:val="000000"/>
                <w:sz w:val="20"/>
                <w:szCs w:val="20"/>
              </w:rPr>
              <w:br/>
              <w:t>Iншi оборотнi активи 18 - 263</w:t>
            </w:r>
            <w:r>
              <w:rPr>
                <w:rFonts w:eastAsia="Times New Roman"/>
                <w:color w:val="000000"/>
                <w:sz w:val="20"/>
                <w:szCs w:val="20"/>
              </w:rPr>
              <w:br/>
              <w:t>5055 2802</w:t>
            </w:r>
            <w:r>
              <w:rPr>
                <w:rFonts w:eastAsia="Times New Roman"/>
                <w:color w:val="000000"/>
                <w:sz w:val="20"/>
                <w:szCs w:val="20"/>
              </w:rPr>
              <w:br/>
            </w:r>
            <w:r>
              <w:rPr>
                <w:rFonts w:eastAsia="Times New Roman"/>
                <w:color w:val="000000"/>
                <w:sz w:val="20"/>
                <w:szCs w:val="20"/>
              </w:rPr>
              <w:br/>
              <w:t>РАЗОМ AКТИВИ 24171 21283</w:t>
            </w:r>
            <w:r>
              <w:rPr>
                <w:rFonts w:eastAsia="Times New Roman"/>
                <w:color w:val="000000"/>
                <w:sz w:val="20"/>
                <w:szCs w:val="20"/>
              </w:rPr>
              <w:br/>
            </w:r>
            <w:r>
              <w:rPr>
                <w:rFonts w:eastAsia="Times New Roman"/>
                <w:color w:val="000000"/>
                <w:sz w:val="20"/>
                <w:szCs w:val="20"/>
              </w:rPr>
              <w:br/>
              <w:t xml:space="preserve">КАПIТАЛ ТА ЗОБОВ'ЯЗАННЯ </w:t>
            </w:r>
            <w:r>
              <w:rPr>
                <w:rFonts w:eastAsia="Times New Roman"/>
                <w:color w:val="000000"/>
                <w:sz w:val="20"/>
                <w:szCs w:val="20"/>
              </w:rPr>
              <w:br/>
            </w:r>
            <w:r>
              <w:rPr>
                <w:rFonts w:eastAsia="Times New Roman"/>
                <w:color w:val="000000"/>
                <w:sz w:val="20"/>
                <w:szCs w:val="20"/>
              </w:rPr>
              <w:br/>
              <w:t xml:space="preserve">Капiтал </w:t>
            </w:r>
            <w:r>
              <w:rPr>
                <w:rFonts w:eastAsia="Times New Roman"/>
                <w:color w:val="000000"/>
                <w:sz w:val="20"/>
                <w:szCs w:val="20"/>
              </w:rPr>
              <w:br/>
              <w:t>Акцiонерний капiтал 21 12680 12680</w:t>
            </w:r>
            <w:r>
              <w:rPr>
                <w:rFonts w:eastAsia="Times New Roman"/>
                <w:color w:val="000000"/>
                <w:sz w:val="20"/>
                <w:szCs w:val="20"/>
              </w:rPr>
              <w:br/>
              <w:t>Iншi компоненти капiталу 9020 9020</w:t>
            </w:r>
            <w:r>
              <w:rPr>
                <w:rFonts w:eastAsia="Times New Roman"/>
                <w:color w:val="000000"/>
                <w:sz w:val="20"/>
                <w:szCs w:val="20"/>
              </w:rPr>
              <w:br/>
              <w:t>Нерозподiлений прибуток (8420) (9119)</w:t>
            </w:r>
            <w:r>
              <w:rPr>
                <w:rFonts w:eastAsia="Times New Roman"/>
                <w:color w:val="000000"/>
                <w:sz w:val="20"/>
                <w:szCs w:val="20"/>
              </w:rPr>
              <w:br/>
              <w:t>13460 12581</w:t>
            </w:r>
            <w:r>
              <w:rPr>
                <w:rFonts w:eastAsia="Times New Roman"/>
                <w:color w:val="000000"/>
                <w:sz w:val="20"/>
                <w:szCs w:val="20"/>
              </w:rPr>
              <w:br/>
              <w:t xml:space="preserve">Довгостроковi зобов'язання </w:t>
            </w:r>
            <w:r>
              <w:rPr>
                <w:rFonts w:eastAsia="Times New Roman"/>
                <w:color w:val="000000"/>
                <w:sz w:val="20"/>
                <w:szCs w:val="20"/>
              </w:rPr>
              <w:br/>
              <w:t>Довгостроковi фiнансовi зобов’язання 22 - -</w:t>
            </w:r>
            <w:r>
              <w:rPr>
                <w:rFonts w:eastAsia="Times New Roman"/>
                <w:color w:val="000000"/>
                <w:sz w:val="20"/>
                <w:szCs w:val="20"/>
              </w:rPr>
              <w:br/>
              <w:t>Резерви - -</w:t>
            </w:r>
            <w:r>
              <w:rPr>
                <w:rFonts w:eastAsia="Times New Roman"/>
                <w:color w:val="000000"/>
                <w:sz w:val="20"/>
                <w:szCs w:val="20"/>
              </w:rPr>
              <w:br/>
              <w:t>Вiдстроченi податковi зобов’язання - -</w:t>
            </w:r>
            <w:r>
              <w:rPr>
                <w:rFonts w:eastAsia="Times New Roman"/>
                <w:color w:val="000000"/>
                <w:sz w:val="20"/>
                <w:szCs w:val="20"/>
              </w:rPr>
              <w:br/>
              <w:t>- -</w:t>
            </w:r>
            <w:r>
              <w:rPr>
                <w:rFonts w:eastAsia="Times New Roman"/>
                <w:color w:val="000000"/>
                <w:sz w:val="20"/>
                <w:szCs w:val="20"/>
              </w:rPr>
              <w:br/>
              <w:t xml:space="preserve">Поточнi зобов'язання </w:t>
            </w:r>
            <w:r>
              <w:rPr>
                <w:rFonts w:eastAsia="Times New Roman"/>
                <w:color w:val="000000"/>
                <w:sz w:val="20"/>
                <w:szCs w:val="20"/>
              </w:rPr>
              <w:br/>
            </w:r>
            <w:r>
              <w:rPr>
                <w:rFonts w:eastAsia="Times New Roman"/>
                <w:color w:val="000000"/>
                <w:sz w:val="20"/>
                <w:szCs w:val="20"/>
              </w:rPr>
              <w:lastRenderedPageBreak/>
              <w:t>Короткострковi кредити та позики 22 - -</w:t>
            </w:r>
            <w:r>
              <w:rPr>
                <w:rFonts w:eastAsia="Times New Roman"/>
                <w:color w:val="000000"/>
                <w:sz w:val="20"/>
                <w:szCs w:val="20"/>
              </w:rPr>
              <w:br/>
              <w:t>Торгова кредиторська заборгованiсть 23 8620 4460</w:t>
            </w:r>
            <w:r>
              <w:rPr>
                <w:rFonts w:eastAsia="Times New Roman"/>
                <w:color w:val="000000"/>
                <w:sz w:val="20"/>
                <w:szCs w:val="20"/>
              </w:rPr>
              <w:br/>
              <w:t>Зобов’язання перед бюджетом 19 251 121</w:t>
            </w:r>
            <w:r>
              <w:rPr>
                <w:rFonts w:eastAsia="Times New Roman"/>
                <w:color w:val="000000"/>
                <w:sz w:val="20"/>
                <w:szCs w:val="20"/>
              </w:rPr>
              <w:br/>
              <w:t>Зобов’язання зi страхування 531 250</w:t>
            </w:r>
            <w:r>
              <w:rPr>
                <w:rFonts w:eastAsia="Times New Roman"/>
                <w:color w:val="000000"/>
                <w:sz w:val="20"/>
                <w:szCs w:val="20"/>
              </w:rPr>
              <w:br/>
              <w:t>Зобов’язання з оплати працi 658 377</w:t>
            </w:r>
            <w:r>
              <w:rPr>
                <w:rFonts w:eastAsia="Times New Roman"/>
                <w:color w:val="000000"/>
                <w:sz w:val="20"/>
                <w:szCs w:val="20"/>
              </w:rPr>
              <w:br/>
              <w:t>Аванси отриманi 24 - 2744</w:t>
            </w:r>
            <w:r>
              <w:rPr>
                <w:rFonts w:eastAsia="Times New Roman"/>
                <w:color w:val="000000"/>
                <w:sz w:val="20"/>
                <w:szCs w:val="20"/>
              </w:rPr>
              <w:br/>
              <w:t>Резерви, забезпечення 24 635 735</w:t>
            </w:r>
            <w:r>
              <w:rPr>
                <w:rFonts w:eastAsia="Times New Roman"/>
                <w:color w:val="000000"/>
                <w:sz w:val="20"/>
                <w:szCs w:val="20"/>
              </w:rPr>
              <w:br/>
              <w:t>Iнша кредиторська заборгованiсть 23 16 15</w:t>
            </w:r>
            <w:r>
              <w:rPr>
                <w:rFonts w:eastAsia="Times New Roman"/>
                <w:color w:val="000000"/>
                <w:sz w:val="20"/>
                <w:szCs w:val="20"/>
              </w:rPr>
              <w:br/>
              <w:t>10711 8702</w:t>
            </w:r>
            <w:r>
              <w:rPr>
                <w:rFonts w:eastAsia="Times New Roman"/>
                <w:color w:val="000000"/>
                <w:sz w:val="20"/>
                <w:szCs w:val="20"/>
              </w:rPr>
              <w:br/>
            </w:r>
            <w:r>
              <w:rPr>
                <w:rFonts w:eastAsia="Times New Roman"/>
                <w:color w:val="000000"/>
                <w:sz w:val="20"/>
                <w:szCs w:val="20"/>
              </w:rPr>
              <w:br/>
              <w:t>РАЗОМ КАПIТАЛ ТА ЗОБОВ'ЯЗАННЯ 24171 21283</w:t>
            </w:r>
            <w:r>
              <w:rPr>
                <w:rFonts w:eastAsia="Times New Roman"/>
                <w:color w:val="000000"/>
                <w:sz w:val="20"/>
                <w:szCs w:val="20"/>
              </w:rPr>
              <w:br/>
            </w:r>
            <w:r>
              <w:rPr>
                <w:rFonts w:eastAsia="Times New Roman"/>
                <w:color w:val="000000"/>
                <w:sz w:val="20"/>
                <w:szCs w:val="20"/>
              </w:rPr>
              <w:br/>
              <w:t>______________________________________________</w:t>
            </w:r>
            <w:r>
              <w:rPr>
                <w:rFonts w:eastAsia="Times New Roman"/>
                <w:color w:val="000000"/>
                <w:sz w:val="20"/>
                <w:szCs w:val="20"/>
              </w:rPr>
              <w:br/>
              <w:t>(Пiдпис) ______________________________________________</w:t>
            </w:r>
            <w:r>
              <w:rPr>
                <w:rFonts w:eastAsia="Times New Roman"/>
                <w:color w:val="000000"/>
                <w:sz w:val="20"/>
                <w:szCs w:val="20"/>
              </w:rPr>
              <w:br/>
              <w:t>(Пiдпис)</w:t>
            </w:r>
            <w:r>
              <w:rPr>
                <w:rFonts w:eastAsia="Times New Roman"/>
                <w:color w:val="000000"/>
                <w:sz w:val="20"/>
                <w:szCs w:val="20"/>
              </w:rPr>
              <w:br/>
              <w:t>Директор / Лакатош I.В.</w:t>
            </w:r>
            <w:r>
              <w:rPr>
                <w:rFonts w:eastAsia="Times New Roman"/>
                <w:color w:val="000000"/>
                <w:sz w:val="20"/>
                <w:szCs w:val="20"/>
              </w:rPr>
              <w:br/>
              <w:t>(Посада / П.I.Б.) Головний бухгалтер /Боршош Н.I.</w:t>
            </w:r>
            <w:r>
              <w:rPr>
                <w:rFonts w:eastAsia="Times New Roman"/>
                <w:color w:val="000000"/>
                <w:sz w:val="20"/>
                <w:szCs w:val="20"/>
              </w:rPr>
              <w:br/>
              <w:t>(Посада / П.I.Б.)</w:t>
            </w:r>
            <w:r>
              <w:rPr>
                <w:rFonts w:eastAsia="Times New Roman"/>
                <w:color w:val="000000"/>
                <w:sz w:val="20"/>
                <w:szCs w:val="20"/>
              </w:rPr>
              <w:br/>
              <w:t>М.П.</w:t>
            </w:r>
            <w:r>
              <w:rPr>
                <w:rFonts w:eastAsia="Times New Roman"/>
                <w:color w:val="000000"/>
                <w:sz w:val="20"/>
                <w:szCs w:val="20"/>
              </w:rPr>
              <w:br/>
            </w:r>
            <w:r>
              <w:rPr>
                <w:rFonts w:eastAsia="Times New Roman"/>
                <w:color w:val="000000"/>
                <w:sz w:val="20"/>
                <w:szCs w:val="20"/>
              </w:rPr>
              <w:br/>
              <w:t>ЗВIТ ПРО РУХ ГРОШОВИХ КОШТIВ</w:t>
            </w:r>
            <w:r>
              <w:rPr>
                <w:rFonts w:eastAsia="Times New Roman"/>
                <w:color w:val="000000"/>
                <w:sz w:val="20"/>
                <w:szCs w:val="20"/>
              </w:rPr>
              <w:br/>
              <w:t>За рiк, що закiнчився 31 грудня 2014 року</w:t>
            </w:r>
            <w:r>
              <w:rPr>
                <w:rFonts w:eastAsia="Times New Roman"/>
                <w:color w:val="000000"/>
                <w:sz w:val="20"/>
                <w:szCs w:val="20"/>
              </w:rPr>
              <w:br/>
              <w:t>(в тисячах гривень, якщо не зазначено iнше)</w:t>
            </w:r>
            <w:r>
              <w:rPr>
                <w:rFonts w:eastAsia="Times New Roman"/>
                <w:color w:val="000000"/>
                <w:sz w:val="20"/>
                <w:szCs w:val="20"/>
              </w:rPr>
              <w:br/>
            </w:r>
            <w:r>
              <w:rPr>
                <w:rFonts w:eastAsia="Times New Roman"/>
                <w:color w:val="000000"/>
                <w:sz w:val="20"/>
                <w:szCs w:val="20"/>
              </w:rPr>
              <w:br/>
              <w:t>2014 2013</w:t>
            </w:r>
            <w:r>
              <w:rPr>
                <w:rFonts w:eastAsia="Times New Roman"/>
                <w:color w:val="000000"/>
                <w:sz w:val="20"/>
                <w:szCs w:val="20"/>
              </w:rPr>
              <w:br/>
              <w:t xml:space="preserve">Операцiйна дiяльнiсть </w:t>
            </w:r>
            <w:r>
              <w:rPr>
                <w:rFonts w:eastAsia="Times New Roman"/>
                <w:color w:val="000000"/>
                <w:sz w:val="20"/>
                <w:szCs w:val="20"/>
              </w:rPr>
              <w:br/>
              <w:t>Грошовi надходження вiд клiєнтiв 36377 22245</w:t>
            </w:r>
            <w:r>
              <w:rPr>
                <w:rFonts w:eastAsia="Times New Roman"/>
                <w:color w:val="000000"/>
                <w:sz w:val="20"/>
                <w:szCs w:val="20"/>
              </w:rPr>
              <w:br/>
              <w:t>Повернення податкiв 1148 1027</w:t>
            </w:r>
            <w:r>
              <w:rPr>
                <w:rFonts w:eastAsia="Times New Roman"/>
                <w:color w:val="000000"/>
                <w:sz w:val="20"/>
                <w:szCs w:val="20"/>
              </w:rPr>
              <w:br/>
              <w:t>Цiльове фiнансування 503 445</w:t>
            </w:r>
            <w:r>
              <w:rPr>
                <w:rFonts w:eastAsia="Times New Roman"/>
                <w:color w:val="000000"/>
                <w:sz w:val="20"/>
                <w:szCs w:val="20"/>
              </w:rPr>
              <w:br/>
              <w:t>Отриманi аванси 1 1609</w:t>
            </w:r>
            <w:r>
              <w:rPr>
                <w:rFonts w:eastAsia="Times New Roman"/>
                <w:color w:val="000000"/>
                <w:sz w:val="20"/>
                <w:szCs w:val="20"/>
              </w:rPr>
              <w:br/>
              <w:t>Отриманi вiдсотки - 1</w:t>
            </w:r>
            <w:r>
              <w:rPr>
                <w:rFonts w:eastAsia="Times New Roman"/>
                <w:color w:val="000000"/>
                <w:sz w:val="20"/>
                <w:szCs w:val="20"/>
              </w:rPr>
              <w:br/>
              <w:t>Отриманi штрафи, пенi - -</w:t>
            </w:r>
            <w:r>
              <w:rPr>
                <w:rFonts w:eastAsia="Times New Roman"/>
                <w:color w:val="000000"/>
                <w:sz w:val="20"/>
                <w:szCs w:val="20"/>
              </w:rPr>
              <w:br/>
              <w:t>Грошовi надходження вiд оренди 167 201</w:t>
            </w:r>
            <w:r>
              <w:rPr>
                <w:rFonts w:eastAsia="Times New Roman"/>
                <w:color w:val="000000"/>
                <w:sz w:val="20"/>
                <w:szCs w:val="20"/>
              </w:rPr>
              <w:br/>
              <w:t>Грошовi платежi постачальникам (9301) (8335)</w:t>
            </w:r>
            <w:r>
              <w:rPr>
                <w:rFonts w:eastAsia="Times New Roman"/>
                <w:color w:val="000000"/>
                <w:sz w:val="20"/>
                <w:szCs w:val="20"/>
              </w:rPr>
              <w:br/>
              <w:t>Грошовi платежi працiвникам (16260) (11965)</w:t>
            </w:r>
            <w:r>
              <w:rPr>
                <w:rFonts w:eastAsia="Times New Roman"/>
                <w:color w:val="000000"/>
                <w:sz w:val="20"/>
                <w:szCs w:val="20"/>
              </w:rPr>
              <w:br/>
              <w:t>Сплачений податок на прибуток (-) (676)</w:t>
            </w:r>
            <w:r>
              <w:rPr>
                <w:rFonts w:eastAsia="Times New Roman"/>
                <w:color w:val="000000"/>
                <w:sz w:val="20"/>
                <w:szCs w:val="20"/>
              </w:rPr>
              <w:br/>
              <w:t>Вiдрахування на соцiальнi заходи (8009) (5798)</w:t>
            </w:r>
            <w:r>
              <w:rPr>
                <w:rFonts w:eastAsia="Times New Roman"/>
                <w:color w:val="000000"/>
                <w:sz w:val="20"/>
                <w:szCs w:val="20"/>
              </w:rPr>
              <w:br/>
              <w:t>Сплаченi iншi податки i збори (2988) (2589)</w:t>
            </w:r>
            <w:r>
              <w:rPr>
                <w:rFonts w:eastAsia="Times New Roman"/>
                <w:color w:val="000000"/>
                <w:sz w:val="20"/>
                <w:szCs w:val="20"/>
              </w:rPr>
              <w:br/>
              <w:t>Iншi надходження 1 -</w:t>
            </w:r>
            <w:r>
              <w:rPr>
                <w:rFonts w:eastAsia="Times New Roman"/>
                <w:color w:val="000000"/>
                <w:sz w:val="20"/>
                <w:szCs w:val="20"/>
              </w:rPr>
              <w:br/>
              <w:t>Iншi витрачання (475) (356)</w:t>
            </w:r>
            <w:r>
              <w:rPr>
                <w:rFonts w:eastAsia="Times New Roman"/>
                <w:color w:val="000000"/>
                <w:sz w:val="20"/>
                <w:szCs w:val="20"/>
              </w:rPr>
              <w:br/>
              <w:t>Чистi потоки грошових коштiв вiд операцiйної дiяльностi 1164 (3515)</w:t>
            </w:r>
            <w:r>
              <w:rPr>
                <w:rFonts w:eastAsia="Times New Roman"/>
                <w:color w:val="000000"/>
                <w:sz w:val="20"/>
                <w:szCs w:val="20"/>
              </w:rPr>
              <w:br/>
            </w:r>
            <w:r>
              <w:rPr>
                <w:rFonts w:eastAsia="Times New Roman"/>
                <w:color w:val="000000"/>
                <w:sz w:val="20"/>
                <w:szCs w:val="20"/>
              </w:rPr>
              <w:br/>
              <w:t xml:space="preserve">Iнвестицiйна дiяльнiсть </w:t>
            </w:r>
            <w:r>
              <w:rPr>
                <w:rFonts w:eastAsia="Times New Roman"/>
                <w:color w:val="000000"/>
                <w:sz w:val="20"/>
                <w:szCs w:val="20"/>
              </w:rPr>
              <w:br/>
              <w:t>Надходження вiд продажу необоротних активiв - -</w:t>
            </w:r>
            <w:r>
              <w:rPr>
                <w:rFonts w:eastAsia="Times New Roman"/>
                <w:color w:val="000000"/>
                <w:sz w:val="20"/>
                <w:szCs w:val="20"/>
              </w:rPr>
              <w:br/>
              <w:t>Отриманi дивiденди - -</w:t>
            </w:r>
            <w:r>
              <w:rPr>
                <w:rFonts w:eastAsia="Times New Roman"/>
                <w:color w:val="000000"/>
                <w:sz w:val="20"/>
                <w:szCs w:val="20"/>
              </w:rPr>
              <w:br/>
              <w:t>Придбання необоротних активiв (-) (3140)</w:t>
            </w:r>
            <w:r>
              <w:rPr>
                <w:rFonts w:eastAsia="Times New Roman"/>
                <w:color w:val="000000"/>
                <w:sz w:val="20"/>
                <w:szCs w:val="20"/>
              </w:rPr>
              <w:br/>
              <w:t>Iншi надходження - -</w:t>
            </w:r>
            <w:r>
              <w:rPr>
                <w:rFonts w:eastAsia="Times New Roman"/>
                <w:color w:val="000000"/>
                <w:sz w:val="20"/>
                <w:szCs w:val="20"/>
              </w:rPr>
              <w:br/>
              <w:t>Iншi витрачання (-) (-)</w:t>
            </w:r>
            <w:r>
              <w:rPr>
                <w:rFonts w:eastAsia="Times New Roman"/>
                <w:color w:val="000000"/>
                <w:sz w:val="20"/>
                <w:szCs w:val="20"/>
              </w:rPr>
              <w:br/>
              <w:t>Чистi потоки грошових коштiв, використанi в iнвестицiйнiй дiяльностi - (3140)</w:t>
            </w:r>
            <w:r>
              <w:rPr>
                <w:rFonts w:eastAsia="Times New Roman"/>
                <w:color w:val="000000"/>
                <w:sz w:val="20"/>
                <w:szCs w:val="20"/>
              </w:rPr>
              <w:br/>
            </w:r>
            <w:r>
              <w:rPr>
                <w:rFonts w:eastAsia="Times New Roman"/>
                <w:color w:val="000000"/>
                <w:sz w:val="20"/>
                <w:szCs w:val="20"/>
              </w:rPr>
              <w:br/>
              <w:t xml:space="preserve">Фiнансова дiяльнiсть </w:t>
            </w:r>
            <w:r>
              <w:rPr>
                <w:rFonts w:eastAsia="Times New Roman"/>
                <w:color w:val="000000"/>
                <w:sz w:val="20"/>
                <w:szCs w:val="20"/>
              </w:rPr>
              <w:br/>
              <w:t>Поповнення статутного капiталу - 9254</w:t>
            </w:r>
            <w:r>
              <w:rPr>
                <w:rFonts w:eastAsia="Times New Roman"/>
                <w:color w:val="000000"/>
                <w:sz w:val="20"/>
                <w:szCs w:val="20"/>
              </w:rPr>
              <w:br/>
              <w:t>Отриманi позики - -</w:t>
            </w:r>
            <w:r>
              <w:rPr>
                <w:rFonts w:eastAsia="Times New Roman"/>
                <w:color w:val="000000"/>
                <w:sz w:val="20"/>
                <w:szCs w:val="20"/>
              </w:rPr>
              <w:br/>
              <w:t>Погашення позик (-) (2176)</w:t>
            </w:r>
            <w:r>
              <w:rPr>
                <w:rFonts w:eastAsia="Times New Roman"/>
                <w:color w:val="000000"/>
                <w:sz w:val="20"/>
                <w:szCs w:val="20"/>
              </w:rPr>
              <w:br/>
              <w:t xml:space="preserve">Поступлення вiд нарахованих вiдсоткiв по рахунках в банках </w:t>
            </w:r>
            <w:r>
              <w:rPr>
                <w:rFonts w:eastAsia="Times New Roman"/>
                <w:color w:val="000000"/>
                <w:sz w:val="20"/>
                <w:szCs w:val="20"/>
              </w:rPr>
              <w:br/>
              <w:t>Сплаченi дивiденди (-) (-)</w:t>
            </w:r>
            <w:r>
              <w:rPr>
                <w:rFonts w:eastAsia="Times New Roman"/>
                <w:color w:val="000000"/>
                <w:sz w:val="20"/>
                <w:szCs w:val="20"/>
              </w:rPr>
              <w:br/>
              <w:t>Сплаченi вiдсотки (28) (832)</w:t>
            </w:r>
            <w:r>
              <w:rPr>
                <w:rFonts w:eastAsia="Times New Roman"/>
                <w:color w:val="000000"/>
                <w:sz w:val="20"/>
                <w:szCs w:val="20"/>
              </w:rPr>
              <w:br/>
              <w:t>Iншi платежi (-) (-)</w:t>
            </w:r>
            <w:r>
              <w:rPr>
                <w:rFonts w:eastAsia="Times New Roman"/>
                <w:color w:val="000000"/>
                <w:sz w:val="20"/>
                <w:szCs w:val="20"/>
              </w:rPr>
              <w:br/>
              <w:t>Чистi потоки грошових коштiв, використанi в фiнансовiй дiяльностi (28) 6246</w:t>
            </w:r>
            <w:r>
              <w:rPr>
                <w:rFonts w:eastAsia="Times New Roman"/>
                <w:color w:val="000000"/>
                <w:sz w:val="20"/>
                <w:szCs w:val="20"/>
              </w:rPr>
              <w:br/>
            </w:r>
            <w:r>
              <w:rPr>
                <w:rFonts w:eastAsia="Times New Roman"/>
                <w:color w:val="000000"/>
                <w:sz w:val="20"/>
                <w:szCs w:val="20"/>
              </w:rPr>
              <w:br/>
              <w:t>Чистий прирiст грошових коштiв та їх еквiвалентiв 1136 (409)</w:t>
            </w:r>
            <w:r>
              <w:rPr>
                <w:rFonts w:eastAsia="Times New Roman"/>
                <w:color w:val="000000"/>
                <w:sz w:val="20"/>
                <w:szCs w:val="20"/>
              </w:rPr>
              <w:br/>
              <w:t>Грошовi кошти та їх еквiваленти на початок перiоду 58 10</w:t>
            </w:r>
            <w:r>
              <w:rPr>
                <w:rFonts w:eastAsia="Times New Roman"/>
                <w:color w:val="000000"/>
                <w:sz w:val="20"/>
                <w:szCs w:val="20"/>
              </w:rPr>
              <w:br/>
              <w:t>Вплив змiн валютних коштiв (413) 457</w:t>
            </w:r>
            <w:r>
              <w:rPr>
                <w:rFonts w:eastAsia="Times New Roman"/>
                <w:color w:val="000000"/>
                <w:sz w:val="20"/>
                <w:szCs w:val="20"/>
              </w:rPr>
              <w:br/>
            </w:r>
            <w:r>
              <w:rPr>
                <w:rFonts w:eastAsia="Times New Roman"/>
                <w:color w:val="000000"/>
                <w:sz w:val="20"/>
                <w:szCs w:val="20"/>
              </w:rPr>
              <w:lastRenderedPageBreak/>
              <w:t>Грошовi кошти та їх еквiваленти на кiнець перiоду 781 58</w:t>
            </w:r>
            <w:r>
              <w:rPr>
                <w:rFonts w:eastAsia="Times New Roman"/>
                <w:color w:val="000000"/>
                <w:sz w:val="20"/>
                <w:szCs w:val="20"/>
              </w:rPr>
              <w:br/>
            </w:r>
            <w:r>
              <w:rPr>
                <w:rFonts w:eastAsia="Times New Roman"/>
                <w:color w:val="000000"/>
                <w:sz w:val="20"/>
                <w:szCs w:val="20"/>
              </w:rPr>
              <w:br/>
              <w:t>______________________________________________</w:t>
            </w:r>
            <w:r>
              <w:rPr>
                <w:rFonts w:eastAsia="Times New Roman"/>
                <w:color w:val="000000"/>
                <w:sz w:val="20"/>
                <w:szCs w:val="20"/>
              </w:rPr>
              <w:br/>
              <w:t>(Пiдпис) ______________________________________________</w:t>
            </w:r>
            <w:r>
              <w:rPr>
                <w:rFonts w:eastAsia="Times New Roman"/>
                <w:color w:val="000000"/>
                <w:sz w:val="20"/>
                <w:szCs w:val="20"/>
              </w:rPr>
              <w:br/>
              <w:t>(Пiдпис)</w:t>
            </w:r>
            <w:r>
              <w:rPr>
                <w:rFonts w:eastAsia="Times New Roman"/>
                <w:color w:val="000000"/>
                <w:sz w:val="20"/>
                <w:szCs w:val="20"/>
              </w:rPr>
              <w:br/>
              <w:t>Директор / Лакатош I.В.</w:t>
            </w:r>
            <w:r>
              <w:rPr>
                <w:rFonts w:eastAsia="Times New Roman"/>
                <w:color w:val="000000"/>
                <w:sz w:val="20"/>
                <w:szCs w:val="20"/>
              </w:rPr>
              <w:br/>
              <w:t>(Посада / П.I.Б.) Головний бухгалтер /Боршош Н.I.</w:t>
            </w:r>
            <w:r>
              <w:rPr>
                <w:rFonts w:eastAsia="Times New Roman"/>
                <w:color w:val="000000"/>
                <w:sz w:val="20"/>
                <w:szCs w:val="20"/>
              </w:rPr>
              <w:br/>
              <w:t>(Посада / П.I.Б.)</w:t>
            </w:r>
            <w:r>
              <w:rPr>
                <w:rFonts w:eastAsia="Times New Roman"/>
                <w:color w:val="000000"/>
                <w:sz w:val="20"/>
                <w:szCs w:val="20"/>
              </w:rPr>
              <w:br/>
              <w:t>М.П.</w:t>
            </w:r>
            <w:r>
              <w:rPr>
                <w:rFonts w:eastAsia="Times New Roman"/>
                <w:color w:val="000000"/>
                <w:sz w:val="20"/>
                <w:szCs w:val="20"/>
              </w:rPr>
              <w:br/>
            </w:r>
            <w:r>
              <w:rPr>
                <w:rFonts w:eastAsia="Times New Roman"/>
                <w:color w:val="000000"/>
                <w:sz w:val="20"/>
                <w:szCs w:val="20"/>
              </w:rPr>
              <w:br/>
              <w:t>Звiт про змiни у власному капiталi</w:t>
            </w:r>
            <w:r>
              <w:rPr>
                <w:rFonts w:eastAsia="Times New Roman"/>
                <w:color w:val="000000"/>
                <w:sz w:val="20"/>
                <w:szCs w:val="20"/>
              </w:rPr>
              <w:br/>
              <w:t>За рiк, що закiнчився 31 грудня 2014 року</w:t>
            </w:r>
            <w:r>
              <w:rPr>
                <w:rFonts w:eastAsia="Times New Roman"/>
                <w:color w:val="000000"/>
                <w:sz w:val="20"/>
                <w:szCs w:val="20"/>
              </w:rPr>
              <w:br/>
              <w:t>(в тисячах гривень, якщо не зазначено iнше)</w:t>
            </w:r>
            <w:r>
              <w:rPr>
                <w:rFonts w:eastAsia="Times New Roman"/>
                <w:color w:val="000000"/>
                <w:sz w:val="20"/>
                <w:szCs w:val="20"/>
              </w:rPr>
              <w:br/>
            </w:r>
            <w:r>
              <w:rPr>
                <w:rFonts w:eastAsia="Times New Roman"/>
                <w:color w:val="000000"/>
                <w:sz w:val="20"/>
                <w:szCs w:val="20"/>
              </w:rPr>
              <w:br/>
              <w:t>Зареєстро-</w:t>
            </w:r>
            <w:r>
              <w:rPr>
                <w:rFonts w:eastAsia="Times New Roman"/>
                <w:color w:val="000000"/>
                <w:sz w:val="20"/>
                <w:szCs w:val="20"/>
              </w:rPr>
              <w:br/>
              <w:t>ваний капiтал Капiтал у дооцiнках Iнший додатковий капiтал Нерозподiлений прибуток Разом</w:t>
            </w:r>
            <w:r>
              <w:rPr>
                <w:rFonts w:eastAsia="Times New Roman"/>
                <w:color w:val="000000"/>
                <w:sz w:val="20"/>
                <w:szCs w:val="20"/>
              </w:rPr>
              <w:br/>
              <w:t>Станом на 31 грудня 2013 12680 9020 - (9119) 12581</w:t>
            </w:r>
            <w:r>
              <w:rPr>
                <w:rFonts w:eastAsia="Times New Roman"/>
                <w:color w:val="000000"/>
                <w:sz w:val="20"/>
                <w:szCs w:val="20"/>
              </w:rPr>
              <w:br/>
              <w:t>Виправлення помилок - - - - -</w:t>
            </w:r>
            <w:r>
              <w:rPr>
                <w:rFonts w:eastAsia="Times New Roman"/>
                <w:color w:val="000000"/>
                <w:sz w:val="20"/>
                <w:szCs w:val="20"/>
              </w:rPr>
              <w:br/>
              <w:t xml:space="preserve">Дооцiнка основних засобiв </w:t>
            </w:r>
            <w:r>
              <w:rPr>
                <w:rFonts w:eastAsia="Times New Roman"/>
                <w:color w:val="000000"/>
                <w:sz w:val="20"/>
                <w:szCs w:val="20"/>
              </w:rPr>
              <w:br/>
              <w:t>Чистий прибуток за перiод - - - 879 879</w:t>
            </w:r>
            <w:r>
              <w:rPr>
                <w:rFonts w:eastAsia="Times New Roman"/>
                <w:color w:val="000000"/>
                <w:sz w:val="20"/>
                <w:szCs w:val="20"/>
              </w:rPr>
              <w:br/>
              <w:t>Виплата дивiдендiв - -</w:t>
            </w:r>
            <w:r>
              <w:rPr>
                <w:rFonts w:eastAsia="Times New Roman"/>
                <w:color w:val="000000"/>
                <w:sz w:val="20"/>
                <w:szCs w:val="20"/>
              </w:rPr>
              <w:br/>
            </w:r>
            <w:r>
              <w:rPr>
                <w:rFonts w:eastAsia="Times New Roman"/>
                <w:color w:val="000000"/>
                <w:sz w:val="20"/>
                <w:szCs w:val="20"/>
              </w:rPr>
              <w:br/>
              <w:t xml:space="preserve">Iнший сукупний дохiд - - - </w:t>
            </w:r>
            <w:r>
              <w:rPr>
                <w:rFonts w:eastAsia="Times New Roman"/>
                <w:color w:val="000000"/>
                <w:sz w:val="20"/>
                <w:szCs w:val="20"/>
              </w:rPr>
              <w:br/>
              <w:t>Перенесення амортизацiї - - - - -</w:t>
            </w:r>
            <w:r>
              <w:rPr>
                <w:rFonts w:eastAsia="Times New Roman"/>
                <w:color w:val="000000"/>
                <w:sz w:val="20"/>
                <w:szCs w:val="20"/>
              </w:rPr>
              <w:br/>
              <w:t>Амортизацiя об'єктiв державної власностi - - - - -</w:t>
            </w:r>
            <w:r>
              <w:rPr>
                <w:rFonts w:eastAsia="Times New Roman"/>
                <w:color w:val="000000"/>
                <w:sz w:val="20"/>
                <w:szCs w:val="20"/>
              </w:rPr>
              <w:br/>
              <w:t>Поповнення фонду розвитку виробництва - - - - -</w:t>
            </w:r>
            <w:r>
              <w:rPr>
                <w:rFonts w:eastAsia="Times New Roman"/>
                <w:color w:val="000000"/>
                <w:sz w:val="20"/>
                <w:szCs w:val="20"/>
              </w:rPr>
              <w:br/>
              <w:t>Поповнення резервного капiталу - - - - -</w:t>
            </w:r>
            <w:r>
              <w:rPr>
                <w:rFonts w:eastAsia="Times New Roman"/>
                <w:color w:val="000000"/>
                <w:sz w:val="20"/>
                <w:szCs w:val="20"/>
              </w:rPr>
              <w:br/>
              <w:t>Iншi змiни в капiталi - - - - -</w:t>
            </w:r>
            <w:r>
              <w:rPr>
                <w:rFonts w:eastAsia="Times New Roman"/>
                <w:color w:val="000000"/>
                <w:sz w:val="20"/>
                <w:szCs w:val="20"/>
              </w:rPr>
              <w:br/>
              <w:t>Станом на 31 грудня 2014 12680 9020 - (8240) 13460</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______________________________________________</w:t>
            </w:r>
            <w:r>
              <w:rPr>
                <w:rFonts w:eastAsia="Times New Roman"/>
                <w:color w:val="000000"/>
                <w:sz w:val="20"/>
                <w:szCs w:val="20"/>
              </w:rPr>
              <w:br/>
              <w:t>(Пiдпис) ______________________________________________</w:t>
            </w:r>
            <w:r>
              <w:rPr>
                <w:rFonts w:eastAsia="Times New Roman"/>
                <w:color w:val="000000"/>
                <w:sz w:val="20"/>
                <w:szCs w:val="20"/>
              </w:rPr>
              <w:br/>
              <w:t>(Пiдпис)</w:t>
            </w:r>
            <w:r>
              <w:rPr>
                <w:rFonts w:eastAsia="Times New Roman"/>
                <w:color w:val="000000"/>
                <w:sz w:val="20"/>
                <w:szCs w:val="20"/>
              </w:rPr>
              <w:br/>
              <w:t>Директор / Лакатош I.В.</w:t>
            </w:r>
            <w:r>
              <w:rPr>
                <w:rFonts w:eastAsia="Times New Roman"/>
                <w:color w:val="000000"/>
                <w:sz w:val="20"/>
                <w:szCs w:val="20"/>
              </w:rPr>
              <w:br/>
              <w:t>(Посада / П.I.Б.) Головний бухгалтер /Боршош Н.I.</w:t>
            </w:r>
            <w:r>
              <w:rPr>
                <w:rFonts w:eastAsia="Times New Roman"/>
                <w:color w:val="000000"/>
                <w:sz w:val="20"/>
                <w:szCs w:val="20"/>
              </w:rPr>
              <w:br/>
              <w:t>(Посада / П.I.Б.)</w:t>
            </w:r>
            <w:r>
              <w:rPr>
                <w:rFonts w:eastAsia="Times New Roman"/>
                <w:color w:val="000000"/>
                <w:sz w:val="20"/>
                <w:szCs w:val="20"/>
              </w:rPr>
              <w:br/>
              <w:t>М.П.</w:t>
            </w:r>
          </w:p>
        </w:tc>
      </w:tr>
      <w:tr w:rsidR="002C3319" w:rsidTr="002C3319">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lastRenderedPageBreak/>
              <w:t>д/н</w:t>
            </w:r>
          </w:p>
        </w:tc>
      </w:tr>
      <w:tr w:rsidR="002C3319" w:rsidTr="002C3319">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д/н</w:t>
            </w:r>
          </w:p>
        </w:tc>
      </w:tr>
      <w:tr w:rsidR="002C3319" w:rsidTr="002C3319">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д/н</w:t>
            </w:r>
          </w:p>
        </w:tc>
      </w:tr>
    </w:tbl>
    <w:p w:rsidR="002C3319" w:rsidRDefault="002C3319" w:rsidP="002C3319">
      <w:pPr>
        <w:rPr>
          <w:rFonts w:eastAsia="Times New Roman"/>
          <w:color w:val="000000"/>
        </w:rPr>
        <w:sectPr w:rsidR="002C3319">
          <w:pgSz w:w="11907" w:h="16840"/>
          <w:pgMar w:top="1134" w:right="851" w:bottom="851" w:left="851" w:header="0" w:footer="0" w:gutter="0"/>
          <w:cols w:space="720"/>
        </w:sectPr>
      </w:pPr>
    </w:p>
    <w:p w:rsidR="002C3319" w:rsidRDefault="002C3319" w:rsidP="002C3319">
      <w:pPr>
        <w:pStyle w:val="3"/>
        <w:rPr>
          <w:color w:val="000000"/>
        </w:rPr>
      </w:pPr>
      <w:r>
        <w:rPr>
          <w:color w:val="000000"/>
        </w:rPr>
        <w:lastRenderedPageBreak/>
        <w:t>Інформація про стан корпоративного управління</w:t>
      </w:r>
    </w:p>
    <w:p w:rsidR="002C3319" w:rsidRDefault="002C3319" w:rsidP="002C3319">
      <w:pPr>
        <w:pStyle w:val="3"/>
        <w:rPr>
          <w:color w:val="000000"/>
        </w:rPr>
      </w:pPr>
      <w:r>
        <w:rPr>
          <w:color w:val="000000"/>
        </w:rPr>
        <w:t>ЗАГАЛЬНІ ЗБОРИ АКЦІОНЕРІВ</w:t>
      </w:r>
    </w:p>
    <w:p w:rsidR="002C3319" w:rsidRDefault="002C3319" w:rsidP="002C3319">
      <w:pPr>
        <w:pStyle w:val="4"/>
        <w:jc w:val="left"/>
        <w:rPr>
          <w:color w:val="000000"/>
        </w:rPr>
      </w:pPr>
      <w:r>
        <w:rPr>
          <w:color w:val="000000"/>
        </w:rPr>
        <w:t>Яку кількість загальних зборів було проведено за минулі три роки?</w:t>
      </w:r>
    </w:p>
    <w:tbl>
      <w:tblPr>
        <w:tblW w:w="5000" w:type="pct"/>
        <w:tblLook w:val="04A0"/>
      </w:tblPr>
      <w:tblGrid>
        <w:gridCol w:w="1032"/>
        <w:gridCol w:w="2065"/>
        <w:gridCol w:w="4130"/>
        <w:gridCol w:w="3098"/>
      </w:tblGrid>
      <w:tr w:rsidR="002C3319" w:rsidTr="002C3319">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w:t>
            </w: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 xml:space="preserve">Який орган здійснював реєстрацію акціонерів для участі в загальних зборах акціонерів останнього разу? </w:t>
      </w:r>
    </w:p>
    <w:tbl>
      <w:tblPr>
        <w:tblW w:w="5000" w:type="pct"/>
        <w:tblLook w:val="04A0"/>
      </w:tblPr>
      <w:tblGrid>
        <w:gridCol w:w="7227"/>
        <w:gridCol w:w="1549"/>
        <w:gridCol w:w="1549"/>
      </w:tblGrid>
      <w:tr w:rsidR="002C3319" w:rsidTr="002C331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Look w:val="04A0"/>
      </w:tblPr>
      <w:tblGrid>
        <w:gridCol w:w="7227"/>
        <w:gridCol w:w="1549"/>
        <w:gridCol w:w="1549"/>
      </w:tblGrid>
      <w:tr w:rsidR="002C3319" w:rsidTr="002C331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 xml:space="preserve">У який спосіб відбувалось голосування з питань порядку денного на загальних зборах останнього разу? </w:t>
      </w:r>
    </w:p>
    <w:tbl>
      <w:tblPr>
        <w:tblW w:w="5000" w:type="pct"/>
        <w:tblLook w:val="04A0"/>
      </w:tblPr>
      <w:tblGrid>
        <w:gridCol w:w="7227"/>
        <w:gridCol w:w="1549"/>
        <w:gridCol w:w="1549"/>
      </w:tblGrid>
      <w:tr w:rsidR="002C3319" w:rsidTr="002C331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Інше (запишіть): бюлетенями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 xml:space="preserve">Які були основні причини скликання останніх позачергових зборів у звітному періоді? </w:t>
      </w:r>
    </w:p>
    <w:tbl>
      <w:tblPr>
        <w:tblW w:w="5000" w:type="pct"/>
        <w:tblLook w:val="04A0"/>
      </w:tblPr>
      <w:tblGrid>
        <w:gridCol w:w="7227"/>
        <w:gridCol w:w="1549"/>
        <w:gridCol w:w="1549"/>
      </w:tblGrid>
      <w:tr w:rsidR="002C3319" w:rsidTr="002C331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bl>
    <w:p w:rsidR="002C3319" w:rsidRDefault="002C3319" w:rsidP="002C3319">
      <w:pPr>
        <w:rPr>
          <w:rFonts w:eastAsia="Times New Roman"/>
          <w:color w:val="000000"/>
        </w:rPr>
      </w:pPr>
    </w:p>
    <w:tbl>
      <w:tblPr>
        <w:tblW w:w="5000" w:type="pct"/>
        <w:tblLook w:val="04A0"/>
      </w:tblPr>
      <w:tblGrid>
        <w:gridCol w:w="9965"/>
        <w:gridCol w:w="360"/>
      </w:tblGrid>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w:t>
            </w:r>
            <w:r>
              <w:rPr>
                <w:rFonts w:eastAsia="Times New Roman"/>
                <w:b/>
                <w:bCs/>
                <w:color w:val="000000"/>
              </w:rPr>
              <w:lastRenderedPageBreak/>
              <w:t xml:space="preserve">(так/ні) </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lastRenderedPageBreak/>
              <w:t>Ні</w:t>
            </w:r>
          </w:p>
        </w:tc>
      </w:tr>
    </w:tbl>
    <w:p w:rsidR="002C3319" w:rsidRDefault="002C3319" w:rsidP="002C3319">
      <w:pPr>
        <w:pStyle w:val="3"/>
        <w:rPr>
          <w:color w:val="000000"/>
        </w:rPr>
      </w:pPr>
      <w:r>
        <w:rPr>
          <w:color w:val="000000"/>
        </w:rPr>
        <w:lastRenderedPageBreak/>
        <w:t>ОРГАНИ УПРАВЛІННЯ</w:t>
      </w:r>
    </w:p>
    <w:p w:rsidR="002C3319" w:rsidRDefault="002C3319" w:rsidP="002C3319">
      <w:pPr>
        <w:pStyle w:val="4"/>
        <w:jc w:val="left"/>
        <w:rPr>
          <w:color w:val="000000"/>
        </w:rPr>
      </w:pPr>
      <w:r>
        <w:rPr>
          <w:color w:val="000000"/>
        </w:rPr>
        <w:t>Який склад наглядової ради (за наявності)?</w:t>
      </w:r>
    </w:p>
    <w:tbl>
      <w:tblPr>
        <w:tblW w:w="5000" w:type="pct"/>
        <w:tblLook w:val="04A0"/>
      </w:tblPr>
      <w:tblGrid>
        <w:gridCol w:w="8776"/>
        <w:gridCol w:w="1549"/>
      </w:tblGrid>
      <w:tr w:rsidR="002C3319" w:rsidTr="002C3319">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(осіб)</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w:t>
            </w:r>
          </w:p>
        </w:tc>
      </w:tr>
    </w:tbl>
    <w:p w:rsidR="002C3319" w:rsidRDefault="002C3319" w:rsidP="002C3319">
      <w:pPr>
        <w:rPr>
          <w:rFonts w:eastAsia="Times New Roman"/>
          <w:color w:val="000000"/>
        </w:rPr>
      </w:pPr>
    </w:p>
    <w:tbl>
      <w:tblPr>
        <w:tblW w:w="5000" w:type="pct"/>
        <w:tblLook w:val="04A0"/>
      </w:tblPr>
      <w:tblGrid>
        <w:gridCol w:w="10085"/>
        <w:gridCol w:w="240"/>
      </w:tblGrid>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4</w:t>
            </w: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 xml:space="preserve">Які саме комітети створено в складі наглядової ради (за наявності)? </w:t>
      </w:r>
    </w:p>
    <w:tbl>
      <w:tblPr>
        <w:tblW w:w="5000" w:type="pct"/>
        <w:tblLook w:val="04A0"/>
      </w:tblPr>
      <w:tblGrid>
        <w:gridCol w:w="7227"/>
        <w:gridCol w:w="1549"/>
        <w:gridCol w:w="1549"/>
      </w:tblGrid>
      <w:tr w:rsidR="002C3319" w:rsidTr="002C331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Дв</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Дв</w:t>
            </w:r>
          </w:p>
        </w:tc>
      </w:tr>
    </w:tbl>
    <w:p w:rsidR="002C3319" w:rsidRDefault="002C3319" w:rsidP="002C3319">
      <w:pPr>
        <w:rPr>
          <w:rFonts w:eastAsia="Times New Roman"/>
          <w:color w:val="000000"/>
        </w:rPr>
      </w:pPr>
    </w:p>
    <w:tbl>
      <w:tblPr>
        <w:tblW w:w="5000" w:type="pct"/>
        <w:tblLook w:val="04A0"/>
      </w:tblPr>
      <w:tblGrid>
        <w:gridCol w:w="9965"/>
        <w:gridCol w:w="360"/>
      </w:tblGrid>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Ні</w:t>
            </w: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 xml:space="preserve">Яким чином визначається розмір винагороди членів наглядової ради? </w:t>
      </w:r>
    </w:p>
    <w:tbl>
      <w:tblPr>
        <w:tblW w:w="5000" w:type="pct"/>
        <w:tblLook w:val="04A0"/>
      </w:tblPr>
      <w:tblGrid>
        <w:gridCol w:w="7227"/>
        <w:gridCol w:w="1549"/>
        <w:gridCol w:w="1549"/>
      </w:tblGrid>
      <w:tr w:rsidR="002C3319" w:rsidTr="002C331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Дв</w:t>
            </w: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 xml:space="preserve">Які з вимог до членів наглядової ради викладені у внутрішніх документах акціонерного товариства? </w:t>
      </w:r>
    </w:p>
    <w:tbl>
      <w:tblPr>
        <w:tblW w:w="5000" w:type="pct"/>
        <w:tblLook w:val="04A0"/>
      </w:tblPr>
      <w:tblGrid>
        <w:gridCol w:w="7227"/>
        <w:gridCol w:w="1549"/>
        <w:gridCol w:w="1549"/>
      </w:tblGrid>
      <w:tr w:rsidR="002C3319" w:rsidTr="002C331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lastRenderedPageBreak/>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Інше (запишіть):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Look w:val="04A0"/>
      </w:tblPr>
      <w:tblGrid>
        <w:gridCol w:w="7227"/>
        <w:gridCol w:w="1549"/>
        <w:gridCol w:w="1549"/>
      </w:tblGrid>
      <w:tr w:rsidR="002C3319" w:rsidTr="002C331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Дв</w:t>
            </w:r>
          </w:p>
        </w:tc>
      </w:tr>
    </w:tbl>
    <w:p w:rsidR="002C3319" w:rsidRDefault="002C3319" w:rsidP="002C3319">
      <w:pPr>
        <w:rPr>
          <w:rFonts w:eastAsia="Times New Roman"/>
          <w:color w:val="000000"/>
        </w:rPr>
      </w:pPr>
    </w:p>
    <w:tbl>
      <w:tblPr>
        <w:tblW w:w="5000" w:type="pct"/>
        <w:tblLook w:val="04A0"/>
      </w:tblPr>
      <w:tblGrid>
        <w:gridCol w:w="8314"/>
        <w:gridCol w:w="2011"/>
      </w:tblGrid>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так, створено ревізійну комісію</w:t>
            </w:r>
          </w:p>
        </w:tc>
      </w:tr>
    </w:tbl>
    <w:p w:rsidR="002C3319" w:rsidRDefault="002C3319" w:rsidP="002C3319">
      <w:pPr>
        <w:pStyle w:val="4"/>
        <w:jc w:val="left"/>
        <w:rPr>
          <w:color w:val="000000"/>
        </w:rPr>
      </w:pPr>
      <w:r>
        <w:rPr>
          <w:color w:val="000000"/>
        </w:rPr>
        <w:t>Якщо в товаристві створено ревізійну комісію:</w:t>
      </w:r>
    </w:p>
    <w:p w:rsidR="002C3319" w:rsidRDefault="002C3319" w:rsidP="002C3319">
      <w:pPr>
        <w:rPr>
          <w:rFonts w:eastAsia="Times New Roman"/>
          <w:color w:val="000000"/>
        </w:rPr>
      </w:pPr>
    </w:p>
    <w:tbl>
      <w:tblPr>
        <w:tblW w:w="5000" w:type="pct"/>
        <w:tblLook w:val="04A0"/>
      </w:tblPr>
      <w:tblGrid>
        <w:gridCol w:w="10325"/>
      </w:tblGrid>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кількість членів ревізійної комісії 3 осіб;</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4</w:t>
            </w: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Look w:val="04A0"/>
      </w:tblPr>
      <w:tblGrid>
        <w:gridCol w:w="5511"/>
        <w:gridCol w:w="1085"/>
        <w:gridCol w:w="1096"/>
        <w:gridCol w:w="1251"/>
        <w:gridCol w:w="1382"/>
      </w:tblGrid>
      <w:tr w:rsidR="002C3319" w:rsidTr="002C3319">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lastRenderedPageBreak/>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bl>
    <w:p w:rsidR="002C3319" w:rsidRDefault="002C3319" w:rsidP="002C3319">
      <w:pPr>
        <w:rPr>
          <w:rFonts w:eastAsia="Times New Roman"/>
          <w:color w:val="000000"/>
        </w:rPr>
      </w:pPr>
    </w:p>
    <w:tbl>
      <w:tblPr>
        <w:tblW w:w="5000" w:type="pct"/>
        <w:tblLook w:val="04A0"/>
      </w:tblPr>
      <w:tblGrid>
        <w:gridCol w:w="10325"/>
      </w:tblGrid>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2C3319" w:rsidRDefault="002C3319" w:rsidP="002C3319">
      <w:pPr>
        <w:rPr>
          <w:rFonts w:eastAsia="Times New Roman"/>
          <w:color w:val="000000"/>
        </w:rPr>
      </w:pPr>
    </w:p>
    <w:tbl>
      <w:tblPr>
        <w:tblW w:w="5000" w:type="pct"/>
        <w:tblLook w:val="04A0"/>
      </w:tblPr>
      <w:tblGrid>
        <w:gridCol w:w="10325"/>
      </w:tblGrid>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2C3319" w:rsidRDefault="002C3319" w:rsidP="002C3319">
      <w:pPr>
        <w:rPr>
          <w:rFonts w:eastAsia="Times New Roman"/>
          <w:color w:val="000000"/>
        </w:rPr>
      </w:pPr>
      <w:r>
        <w:rPr>
          <w:rFonts w:eastAsia="Times New Roman"/>
          <w:color w:val="000000"/>
        </w:rPr>
        <w:br/>
      </w:r>
    </w:p>
    <w:p w:rsidR="002C3319" w:rsidRDefault="002C3319" w:rsidP="002C3319">
      <w:pPr>
        <w:pStyle w:val="4"/>
        <w:jc w:val="left"/>
        <w:rPr>
          <w:color w:val="000000"/>
        </w:rPr>
      </w:pPr>
      <w:r>
        <w:rPr>
          <w:color w:val="000000"/>
        </w:rPr>
        <w:t xml:space="preserve">Які документи існують у вашому акціонерному товаристві? </w:t>
      </w:r>
    </w:p>
    <w:tbl>
      <w:tblPr>
        <w:tblW w:w="5000" w:type="pct"/>
        <w:tblLook w:val="04A0"/>
      </w:tblPr>
      <w:tblGrid>
        <w:gridCol w:w="7227"/>
        <w:gridCol w:w="1549"/>
        <w:gridCol w:w="1549"/>
      </w:tblGrid>
      <w:tr w:rsidR="002C3319" w:rsidTr="002C331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Дв</w:t>
            </w: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Яким чином акціонери можуть отримати таку інформацію про діяльність вашого акціонерного товариства?</w:t>
      </w:r>
    </w:p>
    <w:tbl>
      <w:tblPr>
        <w:tblW w:w="5000" w:type="pct"/>
        <w:tblLook w:val="04A0"/>
      </w:tblPr>
      <w:tblGrid>
        <w:gridCol w:w="2794"/>
        <w:gridCol w:w="1811"/>
        <w:gridCol w:w="1814"/>
        <w:gridCol w:w="1407"/>
        <w:gridCol w:w="1139"/>
        <w:gridCol w:w="1360"/>
      </w:tblGrid>
      <w:tr w:rsidR="002C3319" w:rsidTr="002C3319">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Так</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lastRenderedPageBreak/>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Ні</w:t>
            </w:r>
          </w:p>
        </w:tc>
      </w:tr>
    </w:tbl>
    <w:p w:rsidR="002C3319" w:rsidRDefault="002C3319" w:rsidP="002C3319">
      <w:pPr>
        <w:rPr>
          <w:rFonts w:eastAsia="Times New Roman"/>
          <w:color w:val="000000"/>
        </w:rPr>
      </w:pPr>
    </w:p>
    <w:tbl>
      <w:tblPr>
        <w:tblW w:w="5000" w:type="pct"/>
        <w:tblLook w:val="04A0"/>
      </w:tblPr>
      <w:tblGrid>
        <w:gridCol w:w="10325"/>
      </w:tblGrid>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Look w:val="04A0"/>
      </w:tblPr>
      <w:tblGrid>
        <w:gridCol w:w="7227"/>
        <w:gridCol w:w="1549"/>
        <w:gridCol w:w="1549"/>
      </w:tblGrid>
      <w:tr w:rsidR="002C3319" w:rsidTr="002C331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 xml:space="preserve">Який орган приймав рішення про затвердження зовнішнього аудитора? </w:t>
      </w:r>
    </w:p>
    <w:tbl>
      <w:tblPr>
        <w:tblW w:w="5000" w:type="pct"/>
        <w:tblLook w:val="04A0"/>
      </w:tblPr>
      <w:tblGrid>
        <w:gridCol w:w="7227"/>
        <w:gridCol w:w="1549"/>
        <w:gridCol w:w="1549"/>
      </w:tblGrid>
      <w:tr w:rsidR="002C3319" w:rsidTr="002C331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Дв</w:t>
            </w:r>
          </w:p>
        </w:tc>
      </w:tr>
    </w:tbl>
    <w:p w:rsidR="002C3319" w:rsidRDefault="002C3319" w:rsidP="002C3319">
      <w:pPr>
        <w:rPr>
          <w:rFonts w:eastAsia="Times New Roman"/>
          <w:color w:val="000000"/>
        </w:rPr>
      </w:pPr>
    </w:p>
    <w:tbl>
      <w:tblPr>
        <w:tblW w:w="5000" w:type="pct"/>
        <w:tblLook w:val="04A0"/>
      </w:tblPr>
      <w:tblGrid>
        <w:gridCol w:w="10325"/>
      </w:tblGrid>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 xml:space="preserve">З якої причини було змінено аудитора? </w:t>
      </w:r>
    </w:p>
    <w:tbl>
      <w:tblPr>
        <w:tblW w:w="5000" w:type="pct"/>
        <w:tblLook w:val="04A0"/>
      </w:tblPr>
      <w:tblGrid>
        <w:gridCol w:w="7227"/>
        <w:gridCol w:w="1549"/>
        <w:gridCol w:w="1549"/>
      </w:tblGrid>
      <w:tr w:rsidR="002C3319" w:rsidTr="002C331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Дв</w:t>
            </w: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Look w:val="04A0"/>
      </w:tblPr>
      <w:tblGrid>
        <w:gridCol w:w="7227"/>
        <w:gridCol w:w="1549"/>
        <w:gridCol w:w="1549"/>
      </w:tblGrid>
      <w:tr w:rsidR="002C3319" w:rsidTr="002C331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Аудитор</w:t>
            </w: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З ініціативи якого органу ревізійна комісія (ревізор) проводила перевірку останнього разу?</w:t>
      </w:r>
    </w:p>
    <w:tbl>
      <w:tblPr>
        <w:tblW w:w="5000" w:type="pct"/>
        <w:tblLook w:val="04A0"/>
      </w:tblPr>
      <w:tblGrid>
        <w:gridCol w:w="7227"/>
        <w:gridCol w:w="1549"/>
        <w:gridCol w:w="1549"/>
      </w:tblGrid>
      <w:tr w:rsidR="002C3319" w:rsidTr="002C331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lastRenderedPageBreak/>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Дв</w:t>
            </w:r>
          </w:p>
        </w:tc>
      </w:tr>
    </w:tbl>
    <w:p w:rsidR="002C3319" w:rsidRDefault="002C3319" w:rsidP="002C3319">
      <w:pPr>
        <w:rPr>
          <w:rFonts w:eastAsia="Times New Roman"/>
          <w:color w:val="000000"/>
        </w:rPr>
      </w:pPr>
    </w:p>
    <w:tbl>
      <w:tblPr>
        <w:tblW w:w="5000" w:type="pct"/>
        <w:tblLook w:val="04A0"/>
      </w:tblPr>
      <w:tblGrid>
        <w:gridCol w:w="10325"/>
      </w:tblGrid>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2C3319" w:rsidRDefault="002C3319" w:rsidP="002C3319">
      <w:pPr>
        <w:pStyle w:val="3"/>
        <w:rPr>
          <w:color w:val="000000"/>
        </w:rPr>
      </w:pPr>
      <w:r>
        <w:rPr>
          <w:color w:val="000000"/>
        </w:rPr>
        <w:t>ЗАЛУЧЕННЯ ІНВЕСТИЦІЙ ТА ВДОСКОНАЛЕННЯ ПРАКТИКИ КОРПОРАТИВНОГО УПРАВЛІННЯ</w:t>
      </w:r>
    </w:p>
    <w:p w:rsidR="002C3319" w:rsidRDefault="002C3319" w:rsidP="002C3319">
      <w:pPr>
        <w:pStyle w:val="4"/>
        <w:jc w:val="left"/>
        <w:rPr>
          <w:color w:val="000000"/>
        </w:rPr>
      </w:pPr>
      <w:r>
        <w:rPr>
          <w:color w:val="000000"/>
        </w:rPr>
        <w:t>Чи планує ваше акціонерне товариство залучити інвестиції кожним з цих способів протягом наступних трьох років?</w:t>
      </w:r>
    </w:p>
    <w:tbl>
      <w:tblPr>
        <w:tblW w:w="5000" w:type="pct"/>
        <w:tblLook w:val="04A0"/>
      </w:tblPr>
      <w:tblGrid>
        <w:gridCol w:w="7227"/>
        <w:gridCol w:w="1549"/>
        <w:gridCol w:w="1549"/>
      </w:tblGrid>
      <w:tr w:rsidR="002C3319" w:rsidTr="002C331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Інше (запишіть): Дв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bl>
    <w:p w:rsidR="002C3319" w:rsidRDefault="002C3319" w:rsidP="002C3319">
      <w:pPr>
        <w:rPr>
          <w:rFonts w:eastAsia="Times New Roman"/>
          <w:color w:val="000000"/>
        </w:rPr>
      </w:pPr>
    </w:p>
    <w:p w:rsidR="002C3319" w:rsidRDefault="002C3319" w:rsidP="002C3319">
      <w:pPr>
        <w:pStyle w:val="4"/>
        <w:jc w:val="left"/>
        <w:rPr>
          <w:color w:val="000000"/>
        </w:rPr>
      </w:pPr>
      <w:r>
        <w:rPr>
          <w:color w:val="000000"/>
        </w:rPr>
        <w:t xml:space="preserve">Чи планує ваше акціонерне товариство залучити іноземні інвестиції протягом наступних трьох років*? </w:t>
      </w:r>
    </w:p>
    <w:tbl>
      <w:tblPr>
        <w:tblW w:w="5000" w:type="pct"/>
        <w:tblLook w:val="04A0"/>
      </w:tblPr>
      <w:tblGrid>
        <w:gridCol w:w="8776"/>
        <w:gridCol w:w="1549"/>
      </w:tblGrid>
      <w:tr w:rsidR="002C3319" w:rsidTr="002C3319">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C3319" w:rsidRDefault="002C3319">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bl>
    <w:p w:rsidR="002C3319" w:rsidRDefault="002C3319" w:rsidP="002C3319">
      <w:pPr>
        <w:rPr>
          <w:rFonts w:eastAsia="Times New Roman"/>
          <w:color w:val="000000"/>
        </w:rPr>
      </w:pPr>
    </w:p>
    <w:tbl>
      <w:tblPr>
        <w:tblW w:w="5000" w:type="pct"/>
        <w:tblLook w:val="04A0"/>
      </w:tblPr>
      <w:tblGrid>
        <w:gridCol w:w="10325"/>
      </w:tblGrid>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2C3319" w:rsidRDefault="002C3319" w:rsidP="002C3319">
      <w:pPr>
        <w:rPr>
          <w:rFonts w:eastAsia="Times New Roman"/>
          <w:color w:val="000000"/>
        </w:rPr>
      </w:pPr>
    </w:p>
    <w:tbl>
      <w:tblPr>
        <w:tblW w:w="5000" w:type="pct"/>
        <w:tblLook w:val="04A0"/>
      </w:tblPr>
      <w:tblGrid>
        <w:gridCol w:w="10325"/>
      </w:tblGrid>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Так</w:t>
            </w:r>
          </w:p>
        </w:tc>
      </w:tr>
    </w:tbl>
    <w:p w:rsidR="002C3319" w:rsidRDefault="002C3319" w:rsidP="002C3319">
      <w:pPr>
        <w:rPr>
          <w:rFonts w:eastAsia="Times New Roman"/>
          <w:color w:val="000000"/>
        </w:rPr>
      </w:pPr>
    </w:p>
    <w:tbl>
      <w:tblPr>
        <w:tblW w:w="5000" w:type="pct"/>
        <w:tblLook w:val="04A0"/>
      </w:tblPr>
      <w:tblGrid>
        <w:gridCol w:w="10325"/>
      </w:tblGrid>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2C3319" w:rsidRDefault="002C3319" w:rsidP="002C3319">
      <w:pPr>
        <w:rPr>
          <w:rFonts w:eastAsia="Times New Roman"/>
          <w:color w:val="000000"/>
        </w:rPr>
      </w:pPr>
    </w:p>
    <w:tbl>
      <w:tblPr>
        <w:tblW w:w="5000" w:type="pct"/>
        <w:tblLook w:val="04A0"/>
      </w:tblPr>
      <w:tblGrid>
        <w:gridCol w:w="10325"/>
      </w:tblGrid>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Дв </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Дв </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b/>
                <w:bCs/>
                <w:color w:val="000000"/>
              </w:rPr>
            </w:pPr>
            <w:r>
              <w:rPr>
                <w:rFonts w:eastAsia="Times New Roman"/>
                <w:b/>
                <w:bCs/>
                <w:color w:val="000000"/>
              </w:rPr>
              <w:t xml:space="preserve">Вкажіть інформацію щодо дотримання/недотримання кодексу корпоративного управління </w:t>
            </w:r>
            <w:r>
              <w:rPr>
                <w:rFonts w:eastAsia="Times New Roman"/>
                <w:b/>
                <w:bCs/>
                <w:color w:val="000000"/>
              </w:rPr>
              <w:lastRenderedPageBreak/>
              <w:t>(принципів,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lastRenderedPageBreak/>
              <w:t>Дв</w:t>
            </w:r>
          </w:p>
        </w:tc>
      </w:tr>
    </w:tbl>
    <w:p w:rsidR="002C3319" w:rsidRDefault="002C3319" w:rsidP="002C3319">
      <w:pPr>
        <w:rPr>
          <w:rFonts w:eastAsia="Times New Roman"/>
          <w:color w:val="000000"/>
        </w:rPr>
        <w:sectPr w:rsidR="002C3319">
          <w:pgSz w:w="11907" w:h="16840"/>
          <w:pgMar w:top="1134" w:right="851" w:bottom="851" w:left="851" w:header="0" w:footer="0" w:gutter="0"/>
          <w:cols w:space="720"/>
        </w:sectPr>
      </w:pPr>
    </w:p>
    <w:tbl>
      <w:tblPr>
        <w:tblW w:w="5000" w:type="pct"/>
        <w:tblLook w:val="04A0"/>
      </w:tblPr>
      <w:tblGrid>
        <w:gridCol w:w="2065"/>
        <w:gridCol w:w="4646"/>
        <w:gridCol w:w="2065"/>
        <w:gridCol w:w="1549"/>
      </w:tblGrid>
      <w:tr w:rsidR="002C3319" w:rsidTr="002C3319">
        <w:tc>
          <w:tcPr>
            <w:tcW w:w="10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КОДИ</w:t>
            </w:r>
          </w:p>
        </w:tc>
      </w:tr>
      <w:tr w:rsidR="002C3319" w:rsidTr="002C3319">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2015 | 01 | 01</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Публiчне акцiонерне товариство"Гроно-Текс"</w:t>
            </w:r>
          </w:p>
        </w:tc>
        <w:tc>
          <w:tcPr>
            <w:tcW w:w="0" w:type="auto"/>
            <w:tcMar>
              <w:top w:w="60" w:type="dxa"/>
              <w:left w:w="60" w:type="dxa"/>
              <w:bottom w:w="60" w:type="dxa"/>
              <w:right w:w="60" w:type="dxa"/>
            </w:tcMar>
            <w:vAlign w:val="center"/>
            <w:hideMark/>
          </w:tcPr>
          <w:p w:rsidR="002C3319" w:rsidRDefault="002C3319">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00309134</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2121210100</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230</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14.13</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544</w:t>
            </w:r>
          </w:p>
        </w:tc>
        <w:tc>
          <w:tcPr>
            <w:tcW w:w="0" w:type="auto"/>
            <w:gridSpan w:val="2"/>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90300,Закарпатська обл.,м.Виноградiв,вул.Миру,13</w:t>
            </w:r>
          </w:p>
        </w:tc>
        <w:tc>
          <w:tcPr>
            <w:tcW w:w="0" w:type="auto"/>
            <w:gridSpan w:val="2"/>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 </w:t>
            </w: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за положеннями (стандартами бухгалтерського обліку)</w:t>
            </w:r>
          </w:p>
        </w:tc>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gridSpan w:val="2"/>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за міжнародними стандартами фінансової звітності</w:t>
            </w:r>
          </w:p>
        </w:tc>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V</w:t>
            </w:r>
          </w:p>
        </w:tc>
      </w:tr>
    </w:tbl>
    <w:p w:rsidR="002C3319" w:rsidRDefault="002C3319" w:rsidP="002C3319">
      <w:pPr>
        <w:rPr>
          <w:rFonts w:eastAsia="Times New Roman"/>
          <w:color w:val="000000"/>
        </w:rPr>
      </w:pPr>
    </w:p>
    <w:p w:rsidR="002C3319" w:rsidRDefault="002C3319" w:rsidP="002C3319">
      <w:pPr>
        <w:pStyle w:val="3"/>
        <w:rPr>
          <w:color w:val="000000"/>
        </w:rPr>
      </w:pPr>
      <w:r>
        <w:rPr>
          <w:color w:val="000000"/>
        </w:rPr>
        <w:t>Баланс (Звіт про фінансовий стан)</w:t>
      </w:r>
      <w:r>
        <w:rPr>
          <w:color w:val="000000"/>
        </w:rPr>
        <w:br/>
        <w:t>на 31.12.2014 р.</w:t>
      </w:r>
    </w:p>
    <w:p w:rsidR="002C3319" w:rsidRDefault="002C3319" w:rsidP="002C3319">
      <w:pPr>
        <w:rPr>
          <w:rFonts w:eastAsia="Times New Roman"/>
          <w:color w:val="000000"/>
        </w:rPr>
      </w:pPr>
    </w:p>
    <w:tbl>
      <w:tblPr>
        <w:tblW w:w="5000" w:type="pct"/>
        <w:tblLook w:val="04A0"/>
      </w:tblPr>
      <w:tblGrid>
        <w:gridCol w:w="4645"/>
        <w:gridCol w:w="1033"/>
        <w:gridCol w:w="1549"/>
        <w:gridCol w:w="1549"/>
        <w:gridCol w:w="1549"/>
      </w:tblGrid>
      <w:tr w:rsidR="002C3319" w:rsidTr="002C3319">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5</w:t>
            </w:r>
          </w:p>
        </w:tc>
      </w:tr>
      <w:tr w:rsidR="002C3319" w:rsidTr="002C3319">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I. Необоротні активи</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18350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18940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32957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34632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14607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15692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lastRenderedPageBreak/>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18481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19116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r w:rsidR="002C3319" w:rsidTr="002C3319">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II. Оборотні активи</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768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1337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576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781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lastRenderedPageBreak/>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2802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5055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21283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24171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bl>
    <w:p w:rsidR="002C3319" w:rsidRDefault="002C3319" w:rsidP="002C3319">
      <w:pPr>
        <w:rPr>
          <w:rFonts w:eastAsia="Times New Roman"/>
          <w:color w:val="000000"/>
        </w:rPr>
      </w:pPr>
    </w:p>
    <w:tbl>
      <w:tblPr>
        <w:tblW w:w="5000" w:type="pct"/>
        <w:tblLook w:val="04A0"/>
      </w:tblPr>
      <w:tblGrid>
        <w:gridCol w:w="4645"/>
        <w:gridCol w:w="1033"/>
        <w:gridCol w:w="1549"/>
        <w:gridCol w:w="1549"/>
        <w:gridCol w:w="1549"/>
      </w:tblGrid>
      <w:tr w:rsidR="002C3319" w:rsidTr="002C3319">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2C3319" w:rsidTr="002C3319">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I. Власний капітал</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-9119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-8240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12581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13460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r w:rsidR="002C3319" w:rsidTr="002C3319">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lastRenderedPageBreak/>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r w:rsidR="002C3319" w:rsidTr="002C3319">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8620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658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2744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735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8702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10711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21283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24171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bl>
    <w:p w:rsidR="002C3319" w:rsidRDefault="002C3319" w:rsidP="002C3319">
      <w:pPr>
        <w:rPr>
          <w:rFonts w:eastAsia="Times New Roman"/>
          <w:color w:val="000000"/>
        </w:rPr>
      </w:pPr>
    </w:p>
    <w:tbl>
      <w:tblPr>
        <w:tblW w:w="5000" w:type="pct"/>
        <w:tblLook w:val="04A0"/>
      </w:tblPr>
      <w:tblGrid>
        <w:gridCol w:w="4130"/>
        <w:gridCol w:w="6195"/>
      </w:tblGrid>
      <w:tr w:rsidR="002C3319" w:rsidTr="002C3319">
        <w:tc>
          <w:tcPr>
            <w:tcW w:w="2000" w:type="pct"/>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Нарахування поточного податку на прибуток здiйснюється на основi податкових ставок (та податкового законодавства), якi набули або фактично набули чинностi на звiтну дату.Iншi податки, крiм податку на прибуток, вiдображенi у складi адмiнiстративних та iнших операцiйних витрат.</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Лакатош I.В.</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Боршош Н.I.</w:t>
            </w:r>
          </w:p>
        </w:tc>
      </w:tr>
    </w:tbl>
    <w:p w:rsidR="002C3319" w:rsidRDefault="002C3319" w:rsidP="002C3319">
      <w:pPr>
        <w:rPr>
          <w:rFonts w:eastAsia="Times New Roman"/>
          <w:vanish/>
          <w:color w:val="000000"/>
        </w:rPr>
      </w:pPr>
      <w:r>
        <w:rPr>
          <w:rFonts w:eastAsia="Times New Roman"/>
          <w:color w:val="000000"/>
        </w:rPr>
        <w:br w:type="page"/>
      </w:r>
    </w:p>
    <w:tbl>
      <w:tblPr>
        <w:tblW w:w="5000" w:type="pct"/>
        <w:tblLook w:val="04A0"/>
      </w:tblPr>
      <w:tblGrid>
        <w:gridCol w:w="2065"/>
        <w:gridCol w:w="4646"/>
        <w:gridCol w:w="2065"/>
        <w:gridCol w:w="1549"/>
      </w:tblGrid>
      <w:tr w:rsidR="002C3319" w:rsidTr="002C3319">
        <w:tc>
          <w:tcPr>
            <w:tcW w:w="10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КОДИ</w:t>
            </w:r>
          </w:p>
        </w:tc>
      </w:tr>
      <w:tr w:rsidR="002C3319" w:rsidTr="002C3319">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2015 | 01 | 01</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Публiчне акцiонерне товариство"Гроно-Текс"</w:t>
            </w:r>
          </w:p>
        </w:tc>
        <w:tc>
          <w:tcPr>
            <w:tcW w:w="0" w:type="auto"/>
            <w:tcMar>
              <w:top w:w="60" w:type="dxa"/>
              <w:left w:w="60" w:type="dxa"/>
              <w:bottom w:w="60" w:type="dxa"/>
              <w:right w:w="60" w:type="dxa"/>
            </w:tcMar>
            <w:vAlign w:val="center"/>
            <w:hideMark/>
          </w:tcPr>
          <w:p w:rsidR="002C3319" w:rsidRDefault="002C3319">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00309134</w:t>
            </w:r>
          </w:p>
        </w:tc>
      </w:tr>
      <w:tr w:rsidR="002C3319" w:rsidTr="002C3319">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bl>
    <w:p w:rsidR="002C3319" w:rsidRDefault="002C3319" w:rsidP="002C3319">
      <w:pPr>
        <w:rPr>
          <w:rFonts w:eastAsia="Times New Roman"/>
          <w:color w:val="000000"/>
        </w:rPr>
      </w:pPr>
    </w:p>
    <w:p w:rsidR="002C3319" w:rsidRDefault="002C3319" w:rsidP="002C3319">
      <w:pPr>
        <w:pStyle w:val="3"/>
        <w:rPr>
          <w:color w:val="000000"/>
        </w:rPr>
      </w:pPr>
      <w:r>
        <w:rPr>
          <w:color w:val="000000"/>
        </w:rPr>
        <w:t>Звіт про фінансові результати (Звіт про сукупний дохід)</w:t>
      </w:r>
      <w:r>
        <w:rPr>
          <w:color w:val="000000"/>
        </w:rPr>
        <w:br/>
        <w:t>за 12 місяців 2014 р.</w:t>
      </w:r>
    </w:p>
    <w:p w:rsidR="002C3319" w:rsidRDefault="002C3319" w:rsidP="002C3319">
      <w:pPr>
        <w:rPr>
          <w:rFonts w:eastAsia="Times New Roman"/>
          <w:color w:val="000000"/>
        </w:rPr>
      </w:pPr>
    </w:p>
    <w:tbl>
      <w:tblPr>
        <w:tblW w:w="5000" w:type="pct"/>
        <w:tblLook w:val="04A0"/>
      </w:tblPr>
      <w:tblGrid>
        <w:gridCol w:w="10325"/>
      </w:tblGrid>
      <w:tr w:rsidR="002C3319" w:rsidTr="002C3319">
        <w:tc>
          <w:tcPr>
            <w:tcW w:w="0" w:type="auto"/>
            <w:tcMar>
              <w:top w:w="60" w:type="dxa"/>
              <w:left w:w="60" w:type="dxa"/>
              <w:bottom w:w="60" w:type="dxa"/>
              <w:right w:w="60" w:type="dxa"/>
            </w:tcMar>
            <w:hideMark/>
          </w:tcPr>
          <w:p w:rsidR="002C3319" w:rsidRDefault="002C3319">
            <w:pPr>
              <w:jc w:val="center"/>
              <w:rPr>
                <w:rFonts w:eastAsia="Times New Roman"/>
                <w:color w:val="000000"/>
              </w:rPr>
            </w:pPr>
            <w:r>
              <w:rPr>
                <w:rFonts w:eastAsia="Times New Roman"/>
                <w:color w:val="000000"/>
              </w:rPr>
              <w:t>I. ФІНАНСОВІ РЕЗУЛЬТАТИ</w:t>
            </w:r>
          </w:p>
        </w:tc>
      </w:tr>
    </w:tbl>
    <w:p w:rsidR="002C3319" w:rsidRDefault="002C3319" w:rsidP="002C3319">
      <w:pPr>
        <w:rPr>
          <w:rFonts w:eastAsia="Times New Roman"/>
          <w:vanish/>
          <w:color w:val="000000"/>
        </w:rPr>
      </w:pPr>
    </w:p>
    <w:tbl>
      <w:tblPr>
        <w:tblW w:w="5000" w:type="pct"/>
        <w:tblLook w:val="04A0"/>
      </w:tblPr>
      <w:tblGrid>
        <w:gridCol w:w="5162"/>
        <w:gridCol w:w="1033"/>
        <w:gridCol w:w="2065"/>
        <w:gridCol w:w="2065"/>
      </w:tblGrid>
      <w:tr w:rsidR="002C3319" w:rsidTr="002C331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40208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25898</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( 32466 )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( 23553 )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7742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2345</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1795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1268</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( 2405 )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( 1725 )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( 239 )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( 213 )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( 5794 )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( 2211 )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b/>
                <w:bCs/>
                <w:color w:val="000000"/>
                <w:sz w:val="20"/>
                <w:szCs w:val="20"/>
              </w:rPr>
              <w:lastRenderedPageBreak/>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1099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( 536 )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( 28 )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( 130 )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( 1 )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1072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( 667 )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148</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879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( 815 )</w:t>
            </w:r>
          </w:p>
        </w:tc>
      </w:tr>
    </w:tbl>
    <w:p w:rsidR="002C3319" w:rsidRDefault="002C3319" w:rsidP="002C3319">
      <w:pPr>
        <w:rPr>
          <w:rFonts w:eastAsia="Times New Roman"/>
          <w:color w:val="000000"/>
        </w:rPr>
      </w:pPr>
    </w:p>
    <w:tbl>
      <w:tblPr>
        <w:tblW w:w="5000" w:type="pct"/>
        <w:tblLook w:val="04A0"/>
      </w:tblPr>
      <w:tblGrid>
        <w:gridCol w:w="10325"/>
      </w:tblGrid>
      <w:tr w:rsidR="002C3319" w:rsidTr="002C3319">
        <w:tc>
          <w:tcPr>
            <w:tcW w:w="0" w:type="auto"/>
            <w:tcMar>
              <w:top w:w="60" w:type="dxa"/>
              <w:left w:w="60" w:type="dxa"/>
              <w:bottom w:w="60" w:type="dxa"/>
              <w:right w:w="60" w:type="dxa"/>
            </w:tcMar>
            <w:hideMark/>
          </w:tcPr>
          <w:p w:rsidR="002C3319" w:rsidRDefault="002C3319">
            <w:pPr>
              <w:jc w:val="center"/>
              <w:rPr>
                <w:rFonts w:eastAsia="Times New Roman"/>
                <w:color w:val="000000"/>
              </w:rPr>
            </w:pPr>
            <w:r>
              <w:rPr>
                <w:rFonts w:eastAsia="Times New Roman"/>
                <w:color w:val="000000"/>
              </w:rPr>
              <w:t>II. СУКУПНИЙ ДОХІД</w:t>
            </w:r>
          </w:p>
        </w:tc>
      </w:tr>
    </w:tbl>
    <w:p w:rsidR="002C3319" w:rsidRDefault="002C3319" w:rsidP="002C3319">
      <w:pPr>
        <w:rPr>
          <w:rFonts w:eastAsia="Times New Roman"/>
          <w:vanish/>
          <w:color w:val="000000"/>
        </w:rPr>
      </w:pPr>
    </w:p>
    <w:tbl>
      <w:tblPr>
        <w:tblW w:w="5000" w:type="pct"/>
        <w:tblLook w:val="04A0"/>
      </w:tblPr>
      <w:tblGrid>
        <w:gridCol w:w="5162"/>
        <w:gridCol w:w="1033"/>
        <w:gridCol w:w="2065"/>
        <w:gridCol w:w="2065"/>
      </w:tblGrid>
      <w:tr w:rsidR="002C3319" w:rsidTr="002C331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879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-815</w:t>
            </w:r>
          </w:p>
        </w:tc>
      </w:tr>
    </w:tbl>
    <w:p w:rsidR="002C3319" w:rsidRDefault="002C3319" w:rsidP="002C3319">
      <w:pPr>
        <w:rPr>
          <w:rFonts w:eastAsia="Times New Roman"/>
          <w:color w:val="000000"/>
        </w:rPr>
      </w:pPr>
    </w:p>
    <w:tbl>
      <w:tblPr>
        <w:tblW w:w="5000" w:type="pct"/>
        <w:tblLook w:val="04A0"/>
      </w:tblPr>
      <w:tblGrid>
        <w:gridCol w:w="10325"/>
      </w:tblGrid>
      <w:tr w:rsidR="002C3319" w:rsidTr="002C3319">
        <w:tc>
          <w:tcPr>
            <w:tcW w:w="0" w:type="auto"/>
            <w:tcMar>
              <w:top w:w="60" w:type="dxa"/>
              <w:left w:w="60" w:type="dxa"/>
              <w:bottom w:w="60" w:type="dxa"/>
              <w:right w:w="60" w:type="dxa"/>
            </w:tcMar>
            <w:hideMark/>
          </w:tcPr>
          <w:p w:rsidR="002C3319" w:rsidRDefault="002C3319">
            <w:pPr>
              <w:jc w:val="center"/>
              <w:rPr>
                <w:rFonts w:eastAsia="Times New Roman"/>
                <w:color w:val="000000"/>
              </w:rPr>
            </w:pPr>
            <w:r>
              <w:rPr>
                <w:rFonts w:eastAsia="Times New Roman"/>
                <w:color w:val="000000"/>
              </w:rPr>
              <w:t>III. ЕЛЕМЕНТИ ОПЕРАЦІЙНИХ ВИТРАТ</w:t>
            </w:r>
          </w:p>
        </w:tc>
      </w:tr>
    </w:tbl>
    <w:p w:rsidR="002C3319" w:rsidRDefault="002C3319" w:rsidP="002C3319">
      <w:pPr>
        <w:rPr>
          <w:rFonts w:eastAsia="Times New Roman"/>
          <w:vanish/>
          <w:color w:val="000000"/>
        </w:rPr>
      </w:pPr>
    </w:p>
    <w:tbl>
      <w:tblPr>
        <w:tblW w:w="5000" w:type="pct"/>
        <w:tblLook w:val="04A0"/>
      </w:tblPr>
      <w:tblGrid>
        <w:gridCol w:w="5162"/>
        <w:gridCol w:w="1033"/>
        <w:gridCol w:w="2065"/>
        <w:gridCol w:w="2065"/>
      </w:tblGrid>
      <w:tr w:rsidR="002C3319" w:rsidTr="002C331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4277</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3396</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13712</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7408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4991</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1065</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2701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2060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lastRenderedPageBreak/>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35780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25224</w:t>
            </w:r>
          </w:p>
        </w:tc>
      </w:tr>
    </w:tbl>
    <w:p w:rsidR="002C3319" w:rsidRDefault="002C3319" w:rsidP="002C3319">
      <w:pPr>
        <w:rPr>
          <w:rFonts w:eastAsia="Times New Roman"/>
          <w:color w:val="000000"/>
        </w:rPr>
      </w:pPr>
    </w:p>
    <w:tbl>
      <w:tblPr>
        <w:tblW w:w="5000" w:type="pct"/>
        <w:tblLook w:val="04A0"/>
      </w:tblPr>
      <w:tblGrid>
        <w:gridCol w:w="10325"/>
      </w:tblGrid>
      <w:tr w:rsidR="002C3319" w:rsidTr="002C3319">
        <w:tc>
          <w:tcPr>
            <w:tcW w:w="0" w:type="auto"/>
            <w:tcMar>
              <w:top w:w="60" w:type="dxa"/>
              <w:left w:w="60" w:type="dxa"/>
              <w:bottom w:w="60" w:type="dxa"/>
              <w:right w:w="60" w:type="dxa"/>
            </w:tcMar>
            <w:hideMark/>
          </w:tcPr>
          <w:p w:rsidR="002C3319" w:rsidRDefault="002C3319">
            <w:pPr>
              <w:jc w:val="center"/>
              <w:rPr>
                <w:rFonts w:eastAsia="Times New Roman"/>
                <w:color w:val="000000"/>
              </w:rPr>
            </w:pPr>
            <w:r>
              <w:rPr>
                <w:rFonts w:eastAsia="Times New Roman"/>
                <w:color w:val="000000"/>
              </w:rPr>
              <w:t>ІV. РОЗРАХУНОК ПОКАЗНИКІВ ПРИБУТКОВОСТІ АКЦІЙ</w:t>
            </w:r>
          </w:p>
        </w:tc>
      </w:tr>
    </w:tbl>
    <w:p w:rsidR="002C3319" w:rsidRDefault="002C3319" w:rsidP="002C3319">
      <w:pPr>
        <w:rPr>
          <w:rFonts w:eastAsia="Times New Roman"/>
          <w:vanish/>
          <w:color w:val="000000"/>
        </w:rPr>
      </w:pPr>
    </w:p>
    <w:tbl>
      <w:tblPr>
        <w:tblW w:w="5000" w:type="pct"/>
        <w:tblLook w:val="04A0"/>
      </w:tblPr>
      <w:tblGrid>
        <w:gridCol w:w="5162"/>
        <w:gridCol w:w="1033"/>
        <w:gridCol w:w="2065"/>
        <w:gridCol w:w="2065"/>
      </w:tblGrid>
      <w:tr w:rsidR="002C3319" w:rsidTr="002C331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1268004515</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1268004515</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1268004515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1268004515</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0.00007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-0.00006</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0.00007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-0.00006</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bl>
    <w:p w:rsidR="002C3319" w:rsidRDefault="002C3319" w:rsidP="002C3319">
      <w:pPr>
        <w:rPr>
          <w:rFonts w:eastAsia="Times New Roman"/>
          <w:color w:val="000000"/>
        </w:rPr>
      </w:pPr>
    </w:p>
    <w:tbl>
      <w:tblPr>
        <w:tblW w:w="5000" w:type="pct"/>
        <w:tblLook w:val="04A0"/>
      </w:tblPr>
      <w:tblGrid>
        <w:gridCol w:w="4130"/>
        <w:gridCol w:w="6195"/>
      </w:tblGrid>
      <w:tr w:rsidR="002C3319" w:rsidTr="002C3319">
        <w:tc>
          <w:tcPr>
            <w:tcW w:w="2000" w:type="pct"/>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Чистий прибуток складає 879.00 тис.грн.</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Лакатош I.В.</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Боршош Н.I.</w:t>
            </w:r>
          </w:p>
        </w:tc>
      </w:tr>
    </w:tbl>
    <w:p w:rsidR="002C3319" w:rsidRDefault="002C3319" w:rsidP="002C3319">
      <w:pPr>
        <w:rPr>
          <w:rFonts w:eastAsia="Times New Roman"/>
          <w:vanish/>
          <w:color w:val="000000"/>
        </w:rPr>
      </w:pPr>
      <w:r>
        <w:rPr>
          <w:rFonts w:eastAsia="Times New Roman"/>
          <w:color w:val="000000"/>
        </w:rPr>
        <w:br w:type="page"/>
      </w:r>
    </w:p>
    <w:tbl>
      <w:tblPr>
        <w:tblW w:w="5000" w:type="pct"/>
        <w:tblLook w:val="04A0"/>
      </w:tblPr>
      <w:tblGrid>
        <w:gridCol w:w="2065"/>
        <w:gridCol w:w="4646"/>
        <w:gridCol w:w="2065"/>
        <w:gridCol w:w="1549"/>
      </w:tblGrid>
      <w:tr w:rsidR="002C3319" w:rsidTr="002C3319">
        <w:tc>
          <w:tcPr>
            <w:tcW w:w="10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КОДИ</w:t>
            </w:r>
          </w:p>
        </w:tc>
      </w:tr>
      <w:tr w:rsidR="002C3319" w:rsidTr="002C3319">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2015 | 01 | 01</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Публiчне акцiонерне товариство"Гроно-Текс"</w:t>
            </w:r>
          </w:p>
        </w:tc>
        <w:tc>
          <w:tcPr>
            <w:tcW w:w="0" w:type="auto"/>
            <w:tcMar>
              <w:top w:w="60" w:type="dxa"/>
              <w:left w:w="60" w:type="dxa"/>
              <w:bottom w:w="60" w:type="dxa"/>
              <w:right w:w="60" w:type="dxa"/>
            </w:tcMar>
            <w:vAlign w:val="center"/>
            <w:hideMark/>
          </w:tcPr>
          <w:p w:rsidR="002C3319" w:rsidRDefault="002C3319">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00309134</w:t>
            </w:r>
          </w:p>
        </w:tc>
      </w:tr>
      <w:tr w:rsidR="002C3319" w:rsidTr="002C3319">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bl>
    <w:p w:rsidR="002C3319" w:rsidRDefault="002C3319" w:rsidP="002C3319">
      <w:pPr>
        <w:rPr>
          <w:rFonts w:eastAsia="Times New Roman"/>
          <w:color w:val="000000"/>
        </w:rPr>
      </w:pPr>
    </w:p>
    <w:p w:rsidR="002C3319" w:rsidRDefault="002C3319" w:rsidP="002C3319">
      <w:pPr>
        <w:pStyle w:val="3"/>
        <w:rPr>
          <w:color w:val="000000"/>
        </w:rPr>
      </w:pPr>
      <w:r>
        <w:rPr>
          <w:color w:val="000000"/>
        </w:rPr>
        <w:t>Звіт про рух грошових коштів (за прямим методом)</w:t>
      </w:r>
      <w:r>
        <w:rPr>
          <w:color w:val="000000"/>
        </w:rPr>
        <w:br/>
        <w:t>за 12 місяців 2014 р.</w:t>
      </w:r>
    </w:p>
    <w:p w:rsidR="002C3319" w:rsidRDefault="002C3319" w:rsidP="002C3319">
      <w:pPr>
        <w:rPr>
          <w:rFonts w:eastAsia="Times New Roman"/>
          <w:color w:val="000000"/>
        </w:rPr>
      </w:pPr>
    </w:p>
    <w:tbl>
      <w:tblPr>
        <w:tblW w:w="5000" w:type="pct"/>
        <w:tblLook w:val="04A0"/>
      </w:tblPr>
      <w:tblGrid>
        <w:gridCol w:w="5162"/>
        <w:gridCol w:w="1033"/>
        <w:gridCol w:w="2065"/>
        <w:gridCol w:w="2065"/>
      </w:tblGrid>
      <w:tr w:rsidR="002C3319" w:rsidTr="002C331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4</w:t>
            </w:r>
          </w:p>
        </w:tc>
      </w:tr>
      <w:tr w:rsidR="002C3319" w:rsidTr="002C331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36377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22245</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1148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1027</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998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967</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445</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1609</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201</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( 9301 )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br/>
              <w:t>( 8335 )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( 16260 )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( 11965 )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( 8009 )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( 5798 )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( 2988 )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( 2589 )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( 676 )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lastRenderedPageBreak/>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( 475 )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( 356 )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1164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-3515</w:t>
            </w:r>
          </w:p>
        </w:tc>
      </w:tr>
      <w:tr w:rsidR="002C3319" w:rsidTr="002C331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( 3140 )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-3140</w:t>
            </w:r>
          </w:p>
        </w:tc>
      </w:tr>
      <w:tr w:rsidR="002C3319" w:rsidTr="002C331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9254</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2176</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( 28 )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( 832 )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lastRenderedPageBreak/>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6246</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-409</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10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457</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781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58</w:t>
            </w:r>
          </w:p>
        </w:tc>
      </w:tr>
    </w:tbl>
    <w:p w:rsidR="002C3319" w:rsidRDefault="002C3319" w:rsidP="002C3319">
      <w:pPr>
        <w:rPr>
          <w:rFonts w:eastAsia="Times New Roman"/>
          <w:color w:val="000000"/>
        </w:rPr>
      </w:pPr>
    </w:p>
    <w:tbl>
      <w:tblPr>
        <w:tblW w:w="5000" w:type="pct"/>
        <w:tblLook w:val="04A0"/>
      </w:tblPr>
      <w:tblGrid>
        <w:gridCol w:w="4130"/>
        <w:gridCol w:w="6195"/>
      </w:tblGrid>
      <w:tr w:rsidR="002C3319" w:rsidTr="002C3319">
        <w:tc>
          <w:tcPr>
            <w:tcW w:w="2000" w:type="pct"/>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Залишок коштiв на кiнець року складє 781.00 тис.грн.</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Лакатош I.В.</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Боршош Н.I.</w:t>
            </w:r>
          </w:p>
        </w:tc>
      </w:tr>
    </w:tbl>
    <w:p w:rsidR="002C3319" w:rsidRDefault="002C3319" w:rsidP="002C3319">
      <w:pPr>
        <w:rPr>
          <w:rFonts w:eastAsia="Times New Roman"/>
          <w:color w:val="000000"/>
        </w:rPr>
        <w:sectPr w:rsidR="002C3319">
          <w:pgSz w:w="11907" w:h="16840"/>
          <w:pgMar w:top="1134" w:right="851" w:bottom="851" w:left="851" w:header="0" w:footer="0" w:gutter="0"/>
          <w:cols w:space="720"/>
        </w:sectPr>
      </w:pPr>
    </w:p>
    <w:tbl>
      <w:tblPr>
        <w:tblW w:w="5000" w:type="pct"/>
        <w:tblLook w:val="04A0"/>
      </w:tblPr>
      <w:tblGrid>
        <w:gridCol w:w="2065"/>
        <w:gridCol w:w="4646"/>
        <w:gridCol w:w="2065"/>
        <w:gridCol w:w="1549"/>
      </w:tblGrid>
      <w:tr w:rsidR="002C3319" w:rsidTr="002C3319">
        <w:tc>
          <w:tcPr>
            <w:tcW w:w="10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КОДИ</w:t>
            </w:r>
          </w:p>
        </w:tc>
      </w:tr>
      <w:tr w:rsidR="002C3319" w:rsidTr="002C3319">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2015 | 01 | 01</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Публiчне акцiонерне товариство"Гроно-Текс"</w:t>
            </w:r>
          </w:p>
        </w:tc>
        <w:tc>
          <w:tcPr>
            <w:tcW w:w="0" w:type="auto"/>
            <w:tcMar>
              <w:top w:w="60" w:type="dxa"/>
              <w:left w:w="60" w:type="dxa"/>
              <w:bottom w:w="60" w:type="dxa"/>
              <w:right w:w="60" w:type="dxa"/>
            </w:tcMar>
            <w:vAlign w:val="center"/>
            <w:hideMark/>
          </w:tcPr>
          <w:p w:rsidR="002C3319" w:rsidRDefault="002C3319">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00309134</w:t>
            </w:r>
          </w:p>
        </w:tc>
      </w:tr>
      <w:tr w:rsidR="002C3319" w:rsidTr="002C3319">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bl>
    <w:p w:rsidR="002C3319" w:rsidRDefault="002C3319" w:rsidP="002C3319">
      <w:pPr>
        <w:rPr>
          <w:rFonts w:eastAsia="Times New Roman"/>
          <w:color w:val="000000"/>
        </w:rPr>
      </w:pPr>
    </w:p>
    <w:p w:rsidR="002C3319" w:rsidRDefault="002C3319" w:rsidP="002C3319">
      <w:pPr>
        <w:pStyle w:val="3"/>
        <w:rPr>
          <w:color w:val="000000"/>
        </w:rPr>
      </w:pPr>
      <w:r>
        <w:rPr>
          <w:color w:val="000000"/>
        </w:rPr>
        <w:t>Звіт про рух грошових коштів (за непрямим методом)</w:t>
      </w:r>
      <w:r>
        <w:rPr>
          <w:color w:val="000000"/>
        </w:rPr>
        <w:br/>
        <w:t>за 12 місяців 2014 р.</w:t>
      </w:r>
    </w:p>
    <w:p w:rsidR="002C3319" w:rsidRDefault="002C3319" w:rsidP="002C3319">
      <w:pPr>
        <w:rPr>
          <w:rFonts w:eastAsia="Times New Roman"/>
          <w:color w:val="000000"/>
        </w:rPr>
      </w:pPr>
    </w:p>
    <w:tbl>
      <w:tblPr>
        <w:tblW w:w="5000" w:type="pct"/>
        <w:tblLook w:val="04A0"/>
      </w:tblPr>
      <w:tblGrid>
        <w:gridCol w:w="3097"/>
        <w:gridCol w:w="1032"/>
        <w:gridCol w:w="1549"/>
        <w:gridCol w:w="1549"/>
        <w:gridCol w:w="1549"/>
        <w:gridCol w:w="1549"/>
      </w:tblGrid>
      <w:tr w:rsidR="002C3319" w:rsidTr="002C3319">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2C3319" w:rsidTr="002C331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3319" w:rsidRDefault="002C3319">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видаток</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6</w:t>
            </w:r>
          </w:p>
        </w:tc>
      </w:tr>
      <w:tr w:rsidR="002C3319" w:rsidTr="002C3319">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 xml:space="preserve">Збільшення (зменшення) дебіторської заборгованості за продукцію, товари, роботи, </w:t>
            </w:r>
            <w:r>
              <w:rPr>
                <w:rFonts w:eastAsia="Times New Roman"/>
                <w:color w:val="000000"/>
                <w:sz w:val="20"/>
                <w:szCs w:val="20"/>
              </w:rPr>
              <w:lastRenderedPageBreak/>
              <w:t>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r w:rsidR="002C3319" w:rsidTr="002C331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tcMar>
              <w:top w:w="15" w:type="dxa"/>
              <w:left w:w="15" w:type="dxa"/>
              <w:bottom w:w="15" w:type="dxa"/>
              <w:right w:w="15" w:type="dxa"/>
            </w:tcMar>
            <w:vAlign w:val="center"/>
            <w:hideMark/>
          </w:tcPr>
          <w:p w:rsidR="002C3319" w:rsidRDefault="002C3319">
            <w:pPr>
              <w:rPr>
                <w:rFonts w:asciiTheme="minorHAnsi" w:hAnsiTheme="minorHAnsi" w:cstheme="minorBidi"/>
                <w:sz w:val="22"/>
                <w:szCs w:val="22"/>
              </w:rPr>
            </w:pPr>
          </w:p>
        </w:tc>
        <w:tc>
          <w:tcPr>
            <w:tcW w:w="0" w:type="auto"/>
            <w:tcMar>
              <w:top w:w="15" w:type="dxa"/>
              <w:left w:w="15" w:type="dxa"/>
              <w:bottom w:w="15" w:type="dxa"/>
              <w:right w:w="15"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( 0 )</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lastRenderedPageBreak/>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r w:rsidR="002C3319" w:rsidTr="002C331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tcMar>
              <w:top w:w="15" w:type="dxa"/>
              <w:left w:w="15" w:type="dxa"/>
              <w:bottom w:w="15" w:type="dxa"/>
              <w:right w:w="15" w:type="dxa"/>
            </w:tcMar>
            <w:vAlign w:val="center"/>
            <w:hideMark/>
          </w:tcPr>
          <w:p w:rsidR="002C3319" w:rsidRDefault="002C3319">
            <w:pPr>
              <w:rPr>
                <w:rFonts w:asciiTheme="minorHAnsi" w:hAnsiTheme="minorHAnsi" w:cstheme="minorBidi"/>
                <w:sz w:val="22"/>
                <w:szCs w:val="22"/>
              </w:rPr>
            </w:pPr>
          </w:p>
        </w:tc>
        <w:tc>
          <w:tcPr>
            <w:tcW w:w="0" w:type="auto"/>
            <w:tcMar>
              <w:top w:w="15" w:type="dxa"/>
              <w:left w:w="15" w:type="dxa"/>
              <w:bottom w:w="15" w:type="dxa"/>
              <w:right w:w="15" w:type="dxa"/>
            </w:tcMar>
            <w:vAlign w:val="center"/>
            <w:hideMark/>
          </w:tcPr>
          <w:p w:rsidR="002C3319" w:rsidRDefault="002C3319">
            <w:pPr>
              <w:rPr>
                <w:rFonts w:asciiTheme="minorHAnsi" w:hAnsiTheme="minorHAnsi" w:cstheme="minorBidi"/>
                <w:sz w:val="22"/>
                <w:szCs w:val="22"/>
              </w:rPr>
            </w:pP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X</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bl>
    <w:p w:rsidR="002C3319" w:rsidRDefault="002C3319" w:rsidP="002C3319">
      <w:pPr>
        <w:rPr>
          <w:rFonts w:eastAsia="Times New Roman"/>
          <w:color w:val="000000"/>
        </w:rPr>
      </w:pPr>
    </w:p>
    <w:tbl>
      <w:tblPr>
        <w:tblW w:w="5000" w:type="pct"/>
        <w:tblLook w:val="04A0"/>
      </w:tblPr>
      <w:tblGrid>
        <w:gridCol w:w="4130"/>
        <w:gridCol w:w="6195"/>
      </w:tblGrid>
      <w:tr w:rsidR="002C3319" w:rsidTr="002C3319">
        <w:tc>
          <w:tcPr>
            <w:tcW w:w="2000" w:type="pct"/>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Вiдсутнi.</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Лакатош I.В.</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Боршош Н.I.</w:t>
            </w:r>
          </w:p>
        </w:tc>
      </w:tr>
    </w:tbl>
    <w:p w:rsidR="002C3319" w:rsidRDefault="002C3319" w:rsidP="002C3319">
      <w:pPr>
        <w:rPr>
          <w:rFonts w:eastAsia="Times New Roman"/>
          <w:color w:val="000000"/>
        </w:rPr>
        <w:sectPr w:rsidR="002C3319">
          <w:pgSz w:w="11907" w:h="16840"/>
          <w:pgMar w:top="1134" w:right="851" w:bottom="851" w:left="851" w:header="0" w:footer="0" w:gutter="0"/>
          <w:cols w:space="720"/>
        </w:sectPr>
      </w:pPr>
    </w:p>
    <w:tbl>
      <w:tblPr>
        <w:tblW w:w="5000" w:type="pct"/>
        <w:tblLook w:val="04A0"/>
      </w:tblPr>
      <w:tblGrid>
        <w:gridCol w:w="2995"/>
        <w:gridCol w:w="6739"/>
        <w:gridCol w:w="2995"/>
        <w:gridCol w:w="2246"/>
      </w:tblGrid>
      <w:tr w:rsidR="002C3319" w:rsidTr="002C3319">
        <w:tc>
          <w:tcPr>
            <w:tcW w:w="10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КОДИ</w:t>
            </w:r>
          </w:p>
        </w:tc>
      </w:tr>
      <w:tr w:rsidR="002C3319" w:rsidTr="002C3319">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2015 | 01 | 01</w:t>
            </w:r>
          </w:p>
        </w:tc>
      </w:tr>
      <w:tr w:rsidR="002C3319" w:rsidTr="002C3319">
        <w:tc>
          <w:tcPr>
            <w:tcW w:w="0" w:type="auto"/>
            <w:tcMar>
              <w:top w:w="60" w:type="dxa"/>
              <w:left w:w="60" w:type="dxa"/>
              <w:bottom w:w="60" w:type="dxa"/>
              <w:right w:w="60" w:type="dxa"/>
            </w:tcMar>
            <w:vAlign w:val="center"/>
            <w:hideMark/>
          </w:tcPr>
          <w:p w:rsidR="002C3319" w:rsidRDefault="002C3319">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Публiчне акцiонерне товариство"Гроно-Текс"</w:t>
            </w:r>
          </w:p>
        </w:tc>
        <w:tc>
          <w:tcPr>
            <w:tcW w:w="0" w:type="auto"/>
            <w:tcMar>
              <w:top w:w="60" w:type="dxa"/>
              <w:left w:w="60" w:type="dxa"/>
              <w:bottom w:w="60" w:type="dxa"/>
              <w:right w:w="60" w:type="dxa"/>
            </w:tcMar>
            <w:vAlign w:val="center"/>
            <w:hideMark/>
          </w:tcPr>
          <w:p w:rsidR="002C3319" w:rsidRDefault="002C3319">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00309134</w:t>
            </w:r>
          </w:p>
        </w:tc>
      </w:tr>
      <w:tr w:rsidR="002C3319" w:rsidTr="002C3319">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2C3319" w:rsidRDefault="002C3319">
            <w:pPr>
              <w:rPr>
                <w:rFonts w:asciiTheme="minorHAnsi" w:hAnsiTheme="minorHAnsi" w:cstheme="minorBidi"/>
                <w:sz w:val="22"/>
                <w:szCs w:val="22"/>
              </w:rPr>
            </w:pPr>
          </w:p>
        </w:tc>
      </w:tr>
    </w:tbl>
    <w:p w:rsidR="002C3319" w:rsidRDefault="002C3319" w:rsidP="002C3319">
      <w:pPr>
        <w:rPr>
          <w:rFonts w:eastAsia="Times New Roman"/>
          <w:color w:val="000000"/>
        </w:rPr>
      </w:pPr>
    </w:p>
    <w:p w:rsidR="002C3319" w:rsidRDefault="002C3319" w:rsidP="002C3319">
      <w:pPr>
        <w:pStyle w:val="3"/>
        <w:rPr>
          <w:color w:val="000000"/>
        </w:rPr>
      </w:pPr>
      <w:r>
        <w:rPr>
          <w:color w:val="000000"/>
        </w:rPr>
        <w:t>Звіт про власний капітал</w:t>
      </w:r>
      <w:r>
        <w:rPr>
          <w:color w:val="000000"/>
        </w:rPr>
        <w:br/>
        <w:t>за 12 місяців 2014 р.</w:t>
      </w:r>
    </w:p>
    <w:p w:rsidR="002C3319" w:rsidRDefault="002C3319" w:rsidP="002C3319">
      <w:pPr>
        <w:rPr>
          <w:rFonts w:eastAsia="Times New Roman"/>
          <w:color w:val="000000"/>
        </w:rPr>
      </w:pPr>
    </w:p>
    <w:tbl>
      <w:tblPr>
        <w:tblW w:w="5000" w:type="pct"/>
        <w:tblLook w:val="04A0"/>
      </w:tblPr>
      <w:tblGrid>
        <w:gridCol w:w="1645"/>
        <w:gridCol w:w="1455"/>
        <w:gridCol w:w="1564"/>
        <w:gridCol w:w="1456"/>
        <w:gridCol w:w="1456"/>
        <w:gridCol w:w="1456"/>
        <w:gridCol w:w="1575"/>
        <w:gridCol w:w="1456"/>
        <w:gridCol w:w="1456"/>
        <w:gridCol w:w="1456"/>
      </w:tblGrid>
      <w:tr w:rsidR="002C3319" w:rsidTr="002C3319">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Всього</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-9119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12581</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-9119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12581</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879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879</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 xml:space="preserve">Дооцінка (уцінка) </w:t>
            </w:r>
            <w:r>
              <w:rPr>
                <w:rFonts w:eastAsia="Times New Roman"/>
                <w:b/>
                <w:bCs/>
                <w:color w:val="000000"/>
                <w:sz w:val="20"/>
                <w:szCs w:val="20"/>
              </w:rPr>
              <w:lastRenderedPageBreak/>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lastRenderedPageBreak/>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lastRenderedPageBreak/>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 xml:space="preserve">Сума чистого прибутку на створення </w:t>
            </w:r>
            <w:r>
              <w:rPr>
                <w:rFonts w:eastAsia="Times New Roman"/>
                <w:color w:val="000000"/>
                <w:sz w:val="20"/>
                <w:szCs w:val="20"/>
              </w:rPr>
              <w:lastRenderedPageBreak/>
              <w:t>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lastRenderedPageBreak/>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lastRenderedPageBreak/>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color w:val="000000"/>
                <w:sz w:val="20"/>
                <w:szCs w:val="20"/>
              </w:rPr>
            </w:pPr>
            <w:r>
              <w:rPr>
                <w:rFonts w:eastAsia="Times New Roman"/>
                <w:color w:val="000000"/>
                <w:sz w:val="20"/>
                <w:szCs w:val="20"/>
              </w:rPr>
              <w:t xml:space="preserve">Придбання (продаж) неконтрольованої частки в дочірньому </w:t>
            </w:r>
            <w:r>
              <w:rPr>
                <w:rFonts w:eastAsia="Times New Roman"/>
                <w:color w:val="000000"/>
                <w:sz w:val="20"/>
                <w:szCs w:val="20"/>
              </w:rPr>
              <w:lastRenderedPageBreak/>
              <w:t>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color w:val="000000"/>
                <w:sz w:val="20"/>
                <w:szCs w:val="20"/>
              </w:rPr>
            </w:pPr>
            <w:r>
              <w:rPr>
                <w:rFonts w:eastAsia="Times New Roman"/>
                <w:color w:val="000000"/>
                <w:sz w:val="20"/>
                <w:szCs w:val="20"/>
              </w:rPr>
              <w:t>0</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879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879</w:t>
            </w:r>
          </w:p>
        </w:tc>
      </w:tr>
      <w:tr w:rsidR="002C3319" w:rsidTr="002C331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-8240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C3319" w:rsidRDefault="002C3319">
            <w:pPr>
              <w:jc w:val="center"/>
              <w:rPr>
                <w:rFonts w:eastAsia="Times New Roman"/>
                <w:b/>
                <w:bCs/>
                <w:color w:val="000000"/>
                <w:sz w:val="20"/>
                <w:szCs w:val="20"/>
              </w:rPr>
            </w:pPr>
            <w:r>
              <w:rPr>
                <w:rFonts w:eastAsia="Times New Roman"/>
                <w:b/>
                <w:bCs/>
                <w:color w:val="000000"/>
                <w:sz w:val="20"/>
                <w:szCs w:val="20"/>
              </w:rPr>
              <w:t>13460</w:t>
            </w:r>
          </w:p>
        </w:tc>
      </w:tr>
    </w:tbl>
    <w:p w:rsidR="002C3319" w:rsidRDefault="002C3319" w:rsidP="002C3319">
      <w:pPr>
        <w:rPr>
          <w:rFonts w:eastAsia="Times New Roman"/>
          <w:color w:val="000000"/>
        </w:rPr>
      </w:pPr>
    </w:p>
    <w:tbl>
      <w:tblPr>
        <w:tblW w:w="5000" w:type="pct"/>
        <w:tblLook w:val="04A0"/>
      </w:tblPr>
      <w:tblGrid>
        <w:gridCol w:w="5990"/>
        <w:gridCol w:w="8985"/>
      </w:tblGrid>
      <w:tr w:rsidR="002C3319" w:rsidTr="002C3319">
        <w:tc>
          <w:tcPr>
            <w:tcW w:w="2000" w:type="pct"/>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Неоплачений капiтал у товариства вiдсутнiй.</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Лакатош I.В.</w:t>
            </w:r>
          </w:p>
        </w:tc>
      </w:tr>
      <w:tr w:rsidR="002C3319" w:rsidTr="002C3319">
        <w:tc>
          <w:tcPr>
            <w:tcW w:w="0" w:type="auto"/>
            <w:tcMar>
              <w:top w:w="60" w:type="dxa"/>
              <w:left w:w="60" w:type="dxa"/>
              <w:bottom w:w="60" w:type="dxa"/>
              <w:right w:w="60" w:type="dxa"/>
            </w:tcMar>
            <w:vAlign w:val="center"/>
            <w:hideMark/>
          </w:tcPr>
          <w:p w:rsidR="002C3319" w:rsidRDefault="002C3319">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2C3319" w:rsidRDefault="002C3319">
            <w:pPr>
              <w:jc w:val="center"/>
              <w:rPr>
                <w:rFonts w:eastAsia="Times New Roman"/>
                <w:color w:val="000000"/>
              </w:rPr>
            </w:pPr>
            <w:r>
              <w:rPr>
                <w:rFonts w:eastAsia="Times New Roman"/>
                <w:color w:val="000000"/>
              </w:rPr>
              <w:t>Боршош Н.I.</w:t>
            </w:r>
          </w:p>
        </w:tc>
      </w:tr>
    </w:tbl>
    <w:p w:rsidR="002C3319" w:rsidRDefault="002C3319" w:rsidP="002C3319">
      <w:pPr>
        <w:rPr>
          <w:rFonts w:eastAsia="Times New Roman"/>
          <w:color w:val="000000"/>
        </w:rPr>
        <w:sectPr w:rsidR="002C3319">
          <w:pgSz w:w="16840" w:h="11907" w:orient="landscape"/>
          <w:pgMar w:top="1134" w:right="1134" w:bottom="851" w:left="851" w:header="0" w:footer="0" w:gutter="0"/>
          <w:cols w:space="720"/>
        </w:sectPr>
      </w:pPr>
    </w:p>
    <w:p w:rsidR="002C3319" w:rsidRDefault="002C3319" w:rsidP="002C3319">
      <w:pPr>
        <w:pStyle w:val="3"/>
        <w:rPr>
          <w:color w:val="000000"/>
        </w:rPr>
      </w:pPr>
      <w:r>
        <w:rPr>
          <w:color w:val="000000"/>
        </w:rPr>
        <w:lastRenderedPageBreak/>
        <w:t>Примітки до фінансової звітності, складеної відповідно до міжнародних стандартів фінансової звітності</w:t>
      </w:r>
    </w:p>
    <w:p w:rsidR="002C3319" w:rsidRDefault="002C3319" w:rsidP="002C3319">
      <w:pPr>
        <w:pStyle w:val="4"/>
        <w:rPr>
          <w:color w:val="000000"/>
        </w:rPr>
      </w:pPr>
      <w:r>
        <w:rPr>
          <w:color w:val="000000"/>
        </w:rPr>
        <w:t>Текст приміток</w:t>
      </w:r>
    </w:p>
    <w:p w:rsidR="002C3319" w:rsidRDefault="002C3319" w:rsidP="002C3319">
      <w:pPr>
        <w:rPr>
          <w:rFonts w:eastAsia="Times New Roman"/>
          <w:color w:val="000000"/>
        </w:rPr>
      </w:pPr>
      <w:r>
        <w:rPr>
          <w:rFonts w:eastAsia="Times New Roman"/>
          <w:color w:val="000000"/>
        </w:rPr>
        <w:t>Примiтки до фiнансової звiтностi та важливi аспекти облiкової полiтики</w:t>
      </w:r>
      <w:r>
        <w:rPr>
          <w:rFonts w:eastAsia="Times New Roman"/>
          <w:color w:val="000000"/>
        </w:rPr>
        <w:br/>
        <w:t>За рiк, що закiнчився 31 грудня 2014 року (в тисячах гривень, якщо не зазначено iнше)</w:t>
      </w:r>
      <w:r>
        <w:rPr>
          <w:rFonts w:eastAsia="Times New Roman"/>
          <w:color w:val="000000"/>
        </w:rPr>
        <w:br/>
        <w:t xml:space="preserve">1. Iнформацiя про Компанiю та основнi напрямки її дiяльностi </w:t>
      </w:r>
      <w:r>
        <w:rPr>
          <w:rFonts w:eastAsia="Times New Roman"/>
          <w:color w:val="000000"/>
        </w:rPr>
        <w:br/>
        <w:t xml:space="preserve">ПАТ «Гроно-Текс» функцiонує у формi Публiчного акцiонерного товариства. Основним видом дiяльностi пiдприємства є пошиття одягу на умовах переробки давальницької сировини. Основним контрагентом є iноземна фiрма «ОЗЕКС» (Словакiя) яка одночасно є його основним акцiонером. Асортимент швейних виробiв: костюми чоловiчi та жiночi, штани чоловiчi та жiночi, жилети, шорти, блайзери жiночi, пальто чоловiчi тощо. </w:t>
      </w:r>
      <w:r>
        <w:rPr>
          <w:rFonts w:eastAsia="Times New Roman"/>
          <w:color w:val="000000"/>
        </w:rPr>
        <w:br/>
        <w:t>Юридична та фактична адреса Компанiї ПАТ «Гроно-ТЕКС»: 90300, Закарпатська область, Виноградiвський р-н, м. Виноградiв, вул. Миру, 13.</w:t>
      </w:r>
      <w:r>
        <w:rPr>
          <w:rFonts w:eastAsia="Times New Roman"/>
          <w:color w:val="000000"/>
        </w:rPr>
        <w:br/>
        <w:t>2. Умови функцiонування Компанiї в Українi</w:t>
      </w:r>
      <w:r>
        <w:rPr>
          <w:rFonts w:eastAsia="Times New Roman"/>
          <w:color w:val="000000"/>
        </w:rPr>
        <w:br/>
        <w:t>Україна переживає полiтичнi та економiчнi змiни, на сходi країни ведеться гiбридна вiйна яку пiдтримує Росiйська Федерацiя. Цi чинники впливають та можуть i надалi впливати на дiяльнiсть компанiй, тому дiяльнiсть в Українi включає ризики, якi не є типовими на iнших ринках. Українськiй економiцi як i ранiше притаманнi ознаки та ризики ринку, що розвивається. Цi ознаки включають недостатньо розвинуту дiлову iнфраструктуру та нормативну базу, що регулює дiяльнiсть компанiй, обмежену можливiсть у конвертуваннi нацiональної валюти та обмеження у здiйсненнi валютних операцiй, а також низький рiвень лiквiдностi на ринку капiталу. Податкове, валютне та митне законодавство України часто змiнюється та допускає можливiсть трактувати його по рiзному. Уряд здiйснив низку заходiв, направлених на вирiшення цих питань, однак до цього часу реформи, необхiднi для створення фiнансової, правової та регуляторної систем, не завершенi.</w:t>
      </w:r>
      <w:r>
        <w:rPr>
          <w:rFonts w:eastAsia="Times New Roman"/>
          <w:color w:val="000000"/>
        </w:rPr>
        <w:br/>
        <w:t>Фiнансова iнформацiя вiдображає поточну оцiнку провiдним управлiнським персоналом потенцiйного впливу економiчної ситуацiї в Українi на дiяльнiсть i фiнансову позицiю Компанiї. Майбутня економiчна ситуацiя в Українi може вiдрiзнятися вiд управлiнської оцiнки i такi вiдмiнностi можуть значно впливати на дiяльнiсть та фiнансовий стан Компанiї.</w:t>
      </w:r>
      <w:r>
        <w:rPr>
          <w:rFonts w:eastAsia="Times New Roman"/>
          <w:color w:val="000000"/>
        </w:rPr>
        <w:br/>
        <w:t>3. Основи пiдготовки фiнансових звiтiв</w:t>
      </w:r>
      <w:r>
        <w:rPr>
          <w:rFonts w:eastAsia="Times New Roman"/>
          <w:color w:val="000000"/>
        </w:rPr>
        <w:br/>
        <w:t>3.1. Заява про вiдповiднiсть</w:t>
      </w:r>
      <w:r>
        <w:rPr>
          <w:rFonts w:eastAsia="Times New Roman"/>
          <w:color w:val="000000"/>
        </w:rPr>
        <w:br/>
        <w:t xml:space="preserve">Фiнансова звiтнiсть складена вiдповiдно до Мiжнародних стандартiв фiнансової звiтностi ("МСФЗ"), затвердженими Радою з Мiжнародних стандартiв бухгалтерського облiку ("РМСБО"), а також тлумаченнями, випущеними Комiтентом iз Тлумачень мiжнародної фiнансової звiтностi ("КТМФЗ"). </w:t>
      </w:r>
      <w:r>
        <w:rPr>
          <w:rFonts w:eastAsia="Times New Roman"/>
          <w:color w:val="000000"/>
        </w:rPr>
        <w:br/>
        <w:t xml:space="preserve">3.2. Основа подання iнформацiї </w:t>
      </w:r>
      <w:r>
        <w:rPr>
          <w:rFonts w:eastAsia="Times New Roman"/>
          <w:color w:val="000000"/>
        </w:rPr>
        <w:br/>
        <w:t>Фiнансова звiтнiсть Компанiї складена на основi принципiв нарахування та iсторичної собiвартостi. Випадки вiдхилення вiд указаних принципiв розкриваються у вiдповiдних роздiлах Примiток до фiнансової звiтностi.</w:t>
      </w:r>
      <w:r>
        <w:rPr>
          <w:rFonts w:eastAsia="Times New Roman"/>
          <w:color w:val="000000"/>
        </w:rPr>
        <w:br/>
        <w:t xml:space="preserve">На практицi сутнiсть операцiй та iнших обставин i подiй не завжди вiдповiдає тому, що витiкає з їх юридичної форми. Компанiя органiзувала та здiйснює облiк та вiдображає господарськi операцiї та iншi подiї не тiльки згiдно їх юридичної форми, але згiдно з їх змiстом та економiчною сутнiстю. </w:t>
      </w:r>
      <w:r>
        <w:rPr>
          <w:rFonts w:eastAsia="Times New Roman"/>
          <w:color w:val="000000"/>
        </w:rPr>
        <w:br/>
        <w:t>3.3. Функцiональна валюта та валюта представлення</w:t>
      </w:r>
      <w:r>
        <w:rPr>
          <w:rFonts w:eastAsia="Times New Roman"/>
          <w:color w:val="000000"/>
        </w:rPr>
        <w:br/>
        <w:t>Функцiональною валютою Компанiї є українська гривня, що є валютою середовища, в якому здiйснюються основнi господарськi операцiї. Українська гривня не є повнiстю конвертованою валютою за межами територiї України. Фiнансову звiтнiсть складено в тисячах гривень з заокругленням до цiлих, якщо окремо не зазначено iнше.</w:t>
      </w:r>
      <w:r>
        <w:rPr>
          <w:rFonts w:eastAsia="Times New Roman"/>
          <w:color w:val="000000"/>
        </w:rPr>
        <w:br/>
        <w:t>3.4. Суттєвi судження, облiковi оцiнки та припущення керiвництва</w:t>
      </w:r>
      <w:r>
        <w:rPr>
          <w:rFonts w:eastAsia="Times New Roman"/>
          <w:color w:val="000000"/>
        </w:rPr>
        <w:br/>
        <w:t xml:space="preserve">Пiдготовка фiнансової звiтностi згiдно з МСФЗ вимагає вiд керiвництва Компанiї суджень та здiйснення оцiнок i припущень, якi впливають на застосування облiкової полiтики та </w:t>
      </w:r>
      <w:r>
        <w:rPr>
          <w:rFonts w:eastAsia="Times New Roman"/>
          <w:color w:val="000000"/>
        </w:rPr>
        <w:lastRenderedPageBreak/>
        <w:t xml:space="preserve">суми активiв, зобов'язань, доходiв та витрат, якi визнанi у фiнансовiй звiтностi, а також на розкриття iнформацiї про умовнi активи та зобов'язання. </w:t>
      </w:r>
      <w:r>
        <w:rPr>
          <w:rFonts w:eastAsia="Times New Roman"/>
          <w:color w:val="000000"/>
        </w:rPr>
        <w:br/>
        <w:t>Облiковi оцiнки та припущення</w:t>
      </w:r>
      <w:r>
        <w:rPr>
          <w:rFonts w:eastAsia="Times New Roman"/>
          <w:color w:val="000000"/>
        </w:rPr>
        <w:br/>
        <w:t>Оцiнки та припущення керiвництва базуються на iнформацiї, яка доступна на дату складання фiнансової звiтностi. Фактичнi результати можуть вiдрiзнятися вiд поточних оцiнок. Цi оцiнки та припущення перiодично переглядаються i, в разi необхiдностi коригувань, такi коригування вiдображаються у складi фiнансових результатiв за той перiод, в якому про них стало вiдомо. Iнформацiю про найбiльш суттєвi облiковi оцiнки та припущення керiвництва Компанiї наведено нижче.</w:t>
      </w:r>
      <w:r>
        <w:rPr>
          <w:rFonts w:eastAsia="Times New Roman"/>
          <w:color w:val="000000"/>
        </w:rPr>
        <w:br/>
        <w:t>Справедлива вартiсть фiнансових iнструментiв</w:t>
      </w:r>
      <w:r>
        <w:rPr>
          <w:rFonts w:eastAsia="Times New Roman"/>
          <w:color w:val="000000"/>
        </w:rPr>
        <w:br/>
        <w:t>У випадках, коли справедлива вартiсть фiнансових iнструментiв та фiнансових зобов’язань, що визнаються в звiтi про фiнансовий стан, не може бути визначена на основi даних активних ринкiв, вона визначається з використанням методiв оцiнки, включаючи модель дисконтованих грошових потокiв. У якостi вхiдних даних для цих моделей за можливостi використовується iнформацiя з ринкiв, що мають iнформацiю для спостережень, проте у тих випадках, коли така практична можливiсть вiдсутня, необхiдним є певна доля судження для встановлення справедливої вартостi. Судження включають врахування таких вхiдних даних як ризик лiквiдностi, кредитний ризик та волатильнiсть. Змiни в припущеннях вiдносно факторiв можуть спричинити вплив на справедливу вартiсть фiнансових iнструментiв, що вiдображенi у фiнансовiй звiтностi.</w:t>
      </w:r>
      <w:r>
        <w:rPr>
          <w:rFonts w:eastAsia="Times New Roman"/>
          <w:color w:val="000000"/>
        </w:rPr>
        <w:br/>
        <w:t>Резерв на зниження вартостi дебiторської заборгованостi</w:t>
      </w:r>
      <w:r>
        <w:rPr>
          <w:rFonts w:eastAsia="Times New Roman"/>
          <w:color w:val="000000"/>
        </w:rPr>
        <w:br/>
        <w:t>Резерв на зниження вартостi дебiторської заборгованостi створюється виходячи з оцiнки Компанiєю платоспроможностi конкретних дебiторiв. Якщо вiдбувається погiршення платоспроможностi якого-небудь iз великих дебiторiв або фактичнi збитки вiд невиконання зобов'язань боржниками перевищують оцiнки Компанiї, фактичнi результати можуть вiдрiзнятися вiд зазначених оцiнок. Нарахування (та вiдновлення) резерву на зниження вартостi дебiторської заборгованостi можуть бути iстотними.</w:t>
      </w:r>
      <w:r>
        <w:rPr>
          <w:rFonts w:eastAsia="Times New Roman"/>
          <w:color w:val="000000"/>
        </w:rPr>
        <w:br/>
        <w:t>Резерв оплати вiдпусток</w:t>
      </w:r>
      <w:r>
        <w:rPr>
          <w:rFonts w:eastAsia="Times New Roman"/>
          <w:color w:val="000000"/>
        </w:rPr>
        <w:br/>
        <w:t>Резерв оплати вiдпусток створюється виходячи з оцiнки Компанiєю витрат пов’язаних з наявнiстю невикористаних вiдпусток персоналом. Якщо персонал не використовує передбаченi законодавством вiдпустки, то фактичнi витрати вiд настання зобов’язань Компанiї по оплатi вiдпусток можуть перевищувати оцiнки. Нарахування та використання резерву вiдпусток може бути iстотним та вiдрiзнятися вiд попереднiх оцiнок.</w:t>
      </w:r>
      <w:r>
        <w:rPr>
          <w:rFonts w:eastAsia="Times New Roman"/>
          <w:color w:val="000000"/>
        </w:rPr>
        <w:br/>
        <w:t xml:space="preserve">Податки </w:t>
      </w:r>
      <w:r>
        <w:rPr>
          <w:rFonts w:eastAsia="Times New Roman"/>
          <w:color w:val="000000"/>
        </w:rPr>
        <w:br/>
        <w:t>Стосовно iнтерпретацiї складного податкового законодавства, а також сум та термiнiв отримання майбутнього оподатковуваного доходу iснує невизначенiсть. З урахуванням довгострокового характеру операцiй Компанiї та складностi договiрних умов, рiзниця, що виникає мiж фактичними результатами та прийнятими припущеннями, або майбутнi змiни таких припущень можуть призвести до суттєвих коригувань у вже вiдображених сумах доходiв та витрат з податку на прибуток. Компанiя не створює резервiв спираючись на обґрунтованi припущення. Вiдстроченi податковi активи визнаються по усiм невикористаним податковим збиткам у тiй мiрi, в якiй ймовiрно отримання оподаткованого прибутку в рахунок якого можуть бути зарахованi податковi збитки.</w:t>
      </w:r>
      <w:r>
        <w:rPr>
          <w:rFonts w:eastAsia="Times New Roman"/>
          <w:color w:val="000000"/>
        </w:rPr>
        <w:br/>
        <w:t xml:space="preserve">Необхiднi суттєвi припущення керiвництва стосовно очiкуваних величин оподаткованого прибутку, термiнiв його отримання та стратегiї податкового планування для визначення суми вiдстрочених податкових активiв. </w:t>
      </w:r>
      <w:r>
        <w:rPr>
          <w:rFonts w:eastAsia="Times New Roman"/>
          <w:color w:val="000000"/>
        </w:rPr>
        <w:br/>
        <w:t xml:space="preserve">Пiдготовка фiнансової звiтностi згiдно з МСФЗ вимагає вiд керiвництва Компанiї суджень та здiйснення оцiнок i припущень, якi впливають на застосування облiкової полiтики та суми активiв, зобов'язань, доходiв та витрат, якi визнанi у фiнансовiй звiтностi, а також на розкриття iнформацiї про умовнi активи та зобов'язання. </w:t>
      </w:r>
      <w:r>
        <w:rPr>
          <w:rFonts w:eastAsia="Times New Roman"/>
          <w:color w:val="000000"/>
        </w:rPr>
        <w:br/>
        <w:t>Припущення щодо функцiонування Компанiї у найближчому майбутньому</w:t>
      </w:r>
      <w:r>
        <w:rPr>
          <w:rFonts w:eastAsia="Times New Roman"/>
          <w:color w:val="000000"/>
        </w:rPr>
        <w:br/>
        <w:t xml:space="preserve">У найближчому майбутньому Компанiя буде продовжувати пiдпадати пiд вплив </w:t>
      </w:r>
      <w:r>
        <w:rPr>
          <w:rFonts w:eastAsia="Times New Roman"/>
          <w:color w:val="000000"/>
        </w:rPr>
        <w:lastRenderedPageBreak/>
        <w:t xml:space="preserve">нестабiльної економiки в країнi. У результатi виникає невизначенiсть, яка може вплинути на майбутнi операцiї й можливiсть вiдшкодування вартостi активiв Компанiї, її здатнiсть обслуговувати й погашати свої зобов'язання в мiру настання строкiв їх оплати. </w:t>
      </w:r>
      <w:r>
        <w:rPr>
          <w:rFonts w:eastAsia="Times New Roman"/>
          <w:color w:val="000000"/>
        </w:rPr>
        <w:br/>
        <w:t>Фiнансову звiтнiсть Компанiї складено, виходячи iз припущення про її функцiонування у майбутньому, яке передбачає реалiзацiю активiв та виконання зобов’язань у ходi звичайної дiяльностi. Таким чином, ця фiнансова звiтнiсть не мiстить будь-яких коригувань, якi могли б мати мiсце, якби Компанiя була не здатна продовжувати свою дiяльнiсть в майбутньому та якби вона реалiзовувала свої активи не в ходi своєї звичайної дiяльностi.</w:t>
      </w:r>
      <w:r>
        <w:rPr>
          <w:rFonts w:eastAsia="Times New Roman"/>
          <w:color w:val="000000"/>
        </w:rPr>
        <w:br/>
        <w:t xml:space="preserve">4. Основнi положення облiкової полiтики </w:t>
      </w:r>
      <w:r>
        <w:rPr>
          <w:rFonts w:eastAsia="Times New Roman"/>
          <w:color w:val="000000"/>
        </w:rPr>
        <w:br/>
        <w:t>Основнi принципи облiкової полiтики, якi використовувалися при пiдготовцi даної фiнансової звiтностi наведено нижче.</w:t>
      </w:r>
      <w:r>
        <w:rPr>
          <w:rFonts w:eastAsia="Times New Roman"/>
          <w:color w:val="000000"/>
        </w:rPr>
        <w:br/>
        <w:t xml:space="preserve">4.1. Основнi засоби </w:t>
      </w:r>
      <w:r>
        <w:rPr>
          <w:rFonts w:eastAsia="Times New Roman"/>
          <w:color w:val="000000"/>
        </w:rPr>
        <w:br/>
        <w:t xml:space="preserve">Первiсна вартiсть основних засобiв складається з вартостi їх придбання, включаючи невiдшкодованi податки на придбання, а також будь-якi витрати, пов'язанi з приведенням засобiв у робочий стан та їх доставкою до мiсця використання. </w:t>
      </w:r>
      <w:r>
        <w:rPr>
          <w:rFonts w:eastAsia="Times New Roman"/>
          <w:color w:val="000000"/>
        </w:rPr>
        <w:br/>
        <w:t>Замiни та покращення, що суттєво продовжують термiн служби активiв, капiталiзуються, а витрати на поточне обслуговування вiдображаються в складi витрат у перiод їх виникнення.</w:t>
      </w:r>
      <w:r>
        <w:rPr>
          <w:rFonts w:eastAsia="Times New Roman"/>
          <w:color w:val="000000"/>
        </w:rPr>
        <w:br/>
        <w:t xml:space="preserve">Пiсля первiсного визнання основнi засоби облiковуються по первiснiй вартостi за вирахуванням накопиченої амортизацiї та накопичених збиткiв вiд зменшення корисностi. </w:t>
      </w:r>
      <w:r>
        <w:rPr>
          <w:rFonts w:eastAsia="Times New Roman"/>
          <w:color w:val="000000"/>
        </w:rPr>
        <w:br/>
        <w:t xml:space="preserve">Незавершене будiвництво включає витрати на будiвництво й реконструкцiю основних засобiв та на незавершенi капiтальнi вкладення. Незавершене будiвництво на дату складання фiнансової звiтностi вiдображаються за собiвартiстю за вирахуванням будь яких накопичених збиткiв вiд зменшення корисностi. Незавершене будiвництво не амортизується, поки актив не буде готовий до використання. </w:t>
      </w:r>
      <w:r>
        <w:rPr>
          <w:rFonts w:eastAsia="Times New Roman"/>
          <w:color w:val="000000"/>
        </w:rPr>
        <w:br/>
        <w:t xml:space="preserve">Основнi засоби амортизуються прямолiнiйним методом протягом очiкуваного строку їх корисного використання. </w:t>
      </w:r>
      <w:r>
        <w:rPr>
          <w:rFonts w:eastAsia="Times New Roman"/>
          <w:color w:val="000000"/>
        </w:rPr>
        <w:br/>
        <w:t>Амортизацiю активу починають, коли вiн стає придатним до використання, тобто коли вiн доставлений до мiсця розташування та приведений у стан, у якому вiн придатний до експлуатацiї, але не ранiше мiсяця, наступного за мiсяцем коли об'єкт почав використовуватися (введено в експлуатацiю).</w:t>
      </w:r>
      <w:r>
        <w:rPr>
          <w:rFonts w:eastAsia="Times New Roman"/>
          <w:color w:val="000000"/>
        </w:rPr>
        <w:br/>
        <w:t>Основнi засоби в бухгалтерському облiку класифiкуються за наступними групами:</w:t>
      </w:r>
      <w:r>
        <w:rPr>
          <w:rFonts w:eastAsia="Times New Roman"/>
          <w:color w:val="000000"/>
        </w:rPr>
        <w:br/>
        <w:t>Група основних засобiв Термiн корисного використання, мiсяцi</w:t>
      </w:r>
      <w:r>
        <w:rPr>
          <w:rFonts w:eastAsia="Times New Roman"/>
          <w:color w:val="000000"/>
        </w:rPr>
        <w:br/>
      </w:r>
      <w:r>
        <w:rPr>
          <w:rFonts w:eastAsia="Times New Roman"/>
          <w:color w:val="000000"/>
        </w:rPr>
        <w:br/>
        <w:t>Будiвлi</w:t>
      </w:r>
      <w:r>
        <w:rPr>
          <w:rFonts w:eastAsia="Times New Roman"/>
          <w:color w:val="000000"/>
        </w:rPr>
        <w:br/>
        <w:t xml:space="preserve">Споруди </w:t>
      </w:r>
      <w:r>
        <w:rPr>
          <w:rFonts w:eastAsia="Times New Roman"/>
          <w:color w:val="000000"/>
        </w:rPr>
        <w:br/>
        <w:t>Передавальнi пристрої 240</w:t>
      </w:r>
      <w:r>
        <w:rPr>
          <w:rFonts w:eastAsia="Times New Roman"/>
          <w:color w:val="000000"/>
        </w:rPr>
        <w:br/>
        <w:t>180</w:t>
      </w:r>
      <w:r>
        <w:rPr>
          <w:rFonts w:eastAsia="Times New Roman"/>
          <w:color w:val="000000"/>
        </w:rPr>
        <w:br/>
        <w:t>120</w:t>
      </w:r>
      <w:r>
        <w:rPr>
          <w:rFonts w:eastAsia="Times New Roman"/>
          <w:color w:val="000000"/>
        </w:rPr>
        <w:br/>
        <w:t>Машини та обладнання 60</w:t>
      </w:r>
      <w:r>
        <w:rPr>
          <w:rFonts w:eastAsia="Times New Roman"/>
          <w:color w:val="000000"/>
        </w:rPr>
        <w:br/>
        <w:t>Транспортнi засоби 60</w:t>
      </w:r>
      <w:r>
        <w:rPr>
          <w:rFonts w:eastAsia="Times New Roman"/>
          <w:color w:val="000000"/>
        </w:rPr>
        <w:br/>
        <w:t>Комп’ютерна технiка 24</w:t>
      </w:r>
      <w:r>
        <w:rPr>
          <w:rFonts w:eastAsia="Times New Roman"/>
          <w:color w:val="000000"/>
        </w:rPr>
        <w:br/>
        <w:t>Iнструменти, прилади та iнвентар 48</w:t>
      </w:r>
      <w:r>
        <w:rPr>
          <w:rFonts w:eastAsia="Times New Roman"/>
          <w:color w:val="000000"/>
        </w:rPr>
        <w:br/>
        <w:t>Iншi основнi засоби 60</w:t>
      </w:r>
      <w:r>
        <w:rPr>
          <w:rFonts w:eastAsia="Times New Roman"/>
          <w:color w:val="000000"/>
        </w:rPr>
        <w:br/>
        <w:t>Амортизацiя iнших необоротних матерiальних активiв нараховується в наступному мiсяцi, за мiсяцем введення в експлуатацiю об’єкта в розмiрi 100% його вартостi.</w:t>
      </w:r>
      <w:r>
        <w:rPr>
          <w:rFonts w:eastAsia="Times New Roman"/>
          <w:color w:val="000000"/>
        </w:rPr>
        <w:br/>
        <w:t>Залишкова вартiсть, строк корисного використання й методи амортизацiї переглядаються й при необхiдностi коригуються наприкiнцi кожного фiнансового року.</w:t>
      </w:r>
      <w:r>
        <w:rPr>
          <w:rFonts w:eastAsia="Times New Roman"/>
          <w:color w:val="000000"/>
        </w:rPr>
        <w:br/>
        <w:t xml:space="preserve">4.2. Нематерiальнi активи </w:t>
      </w:r>
      <w:r>
        <w:rPr>
          <w:rFonts w:eastAsia="Times New Roman"/>
          <w:color w:val="000000"/>
        </w:rPr>
        <w:br/>
        <w:t xml:space="preserve">Придбанi нематерiальнi активи визнаються за собiвартiстю й амортизуються прямолiнiйним методом протягом очiкуваного строку їх корисного використання. </w:t>
      </w:r>
      <w:r>
        <w:rPr>
          <w:rFonts w:eastAsia="Times New Roman"/>
          <w:color w:val="000000"/>
        </w:rPr>
        <w:br/>
      </w:r>
      <w:r>
        <w:rPr>
          <w:rFonts w:eastAsia="Times New Roman"/>
          <w:color w:val="000000"/>
        </w:rPr>
        <w:lastRenderedPageBreak/>
        <w:t xml:space="preserve">Пiсля первiсного визнання нематерiальнi активи враховуються по їхнiй собiвартостi за вирахуванням накопиченої амортизацiї, та будь яких накопичених збиткiв вiд зменшення корисностi. </w:t>
      </w:r>
      <w:r>
        <w:rPr>
          <w:rFonts w:eastAsia="Times New Roman"/>
          <w:color w:val="000000"/>
        </w:rPr>
        <w:br/>
        <w:t xml:space="preserve">4.3. Зменшення корисностi активiв </w:t>
      </w:r>
      <w:r>
        <w:rPr>
          <w:rFonts w:eastAsia="Times New Roman"/>
          <w:color w:val="000000"/>
        </w:rPr>
        <w:br/>
        <w:t xml:space="preserve">Активи, що мають невизначений термiн служби, не пiдлягають амортизацiї щороку тестуються на предмет зменшення корисностi. </w:t>
      </w:r>
      <w:r>
        <w:rPr>
          <w:rFonts w:eastAsia="Times New Roman"/>
          <w:color w:val="000000"/>
        </w:rPr>
        <w:br/>
        <w:t>Активи, що пiдлягають амортизацiї, оцiнюються на предмет зменшення корисностi кожного разу, коли якi-небудь подiї або змiни обставин вказують на те, що балансова вартiсть активу може перевищувати суму його очiкуваного вiдшкодування. Кориснiсть активу зменшується, коли балансова вартiсть активу перевищує суму його очiкуваного вiдшкодування. Збиток вiд зменшення корисностi визнається в сумi, на яку балансова вартiсть активу перевищує суму його очiкуваного вiдшкодування. Сума очiкуваного вiдшкодування є бiльша з двох оцiнок активу (або одиницi, яка генерує грошовi кошти): справедливої вартостi за вирахуванням витрат на продаж або його вартостi використання. Для цiлей оцiнки активiв на предмет зменшення корисностi активи групуються в найменшi групи, для яких можна видiлити грошовi потоки, що окремо iдентифiкуються (одиницi, що генерують грошовi кошти).</w:t>
      </w:r>
      <w:r>
        <w:rPr>
          <w:rFonts w:eastAsia="Times New Roman"/>
          <w:color w:val="000000"/>
        </w:rPr>
        <w:br/>
        <w:t xml:space="preserve">4.4. Запаси </w:t>
      </w:r>
      <w:r>
        <w:rPr>
          <w:rFonts w:eastAsia="Times New Roman"/>
          <w:color w:val="000000"/>
        </w:rPr>
        <w:br/>
        <w:t xml:space="preserve">Первiсно запаси визнаються за собiвартiстю придбання з врахуванням витрат на їх доставку до теперiшнього мiсця перебування та приведення у теперiшнiй стан. Пiд час вибуття (списання з балансу) запаси оцiнюються за методом ФIФО. </w:t>
      </w:r>
      <w:r>
        <w:rPr>
          <w:rFonts w:eastAsia="Times New Roman"/>
          <w:color w:val="000000"/>
        </w:rPr>
        <w:br/>
        <w:t>На дату звiту про фiнансовий стан запаси оцiнюються за меншою з двох вартостей: собiвартiстю або чистою вартiстю реалiзацiї. Чиста вартiсть реалiзацiї являє собою оцiночну цiну реалiзацiї в ходi звичайної дiяльностi за вирахуванням будь-яких очiкуваних витрат, пов'язаних з реалiзацiєю.</w:t>
      </w:r>
      <w:r>
        <w:rPr>
          <w:rFonts w:eastAsia="Times New Roman"/>
          <w:color w:val="000000"/>
        </w:rPr>
        <w:br/>
        <w:t xml:space="preserve">4.5 Грошовi кошти та їх еквiваленти </w:t>
      </w:r>
      <w:r>
        <w:rPr>
          <w:rFonts w:eastAsia="Times New Roman"/>
          <w:color w:val="000000"/>
        </w:rPr>
        <w:br/>
        <w:t xml:space="preserve">Грошовi кошти та їх еквiваленти включають грошовi кошти в касi, депозити, що зберiгаються до вимоги в банках, банкiвськi овердрафти. </w:t>
      </w:r>
      <w:r>
        <w:rPr>
          <w:rFonts w:eastAsia="Times New Roman"/>
          <w:color w:val="000000"/>
        </w:rPr>
        <w:br/>
        <w:t>4.6. Фiнансовi активи</w:t>
      </w:r>
      <w:r>
        <w:rPr>
          <w:rFonts w:eastAsia="Times New Roman"/>
          <w:color w:val="000000"/>
        </w:rPr>
        <w:br/>
        <w:t>Первiсне визнання та оцiнка</w:t>
      </w:r>
      <w:r>
        <w:rPr>
          <w:rFonts w:eastAsia="Times New Roman"/>
          <w:color w:val="000000"/>
        </w:rPr>
        <w:br/>
        <w:t xml:space="preserve">Фiнансовi активи, що входять до сфери застосування МСБО 39, класифiкуються вiдповiдно як фiнансовi активи за справедливою вартiстю з вiдображенням переоцiнки як прибутку або збитку, позики i дебiторська заборгованiсть, iнвестицiї, утримуванi до погашення, та фiнансовi активи, доступнi для продажу. </w:t>
      </w:r>
      <w:r>
        <w:rPr>
          <w:rFonts w:eastAsia="Times New Roman"/>
          <w:color w:val="000000"/>
        </w:rPr>
        <w:br/>
        <w:t>Пiд час первiсного визнання фiнансовi активи оцiнюються за справедливою вартiстю плюс (у випадку фiнансового активу не за справедливою вартiстю з вiдображенням переоцiнки як прибутку або збитку) витрати на операцiю, якi прямо вiдносяться до придбання або випуску фiнансового активу.</w:t>
      </w:r>
      <w:r>
        <w:rPr>
          <w:rFonts w:eastAsia="Times New Roman"/>
          <w:color w:val="000000"/>
        </w:rPr>
        <w:br/>
        <w:t>В момент первiсного визнання фiнансових активiв Компанiя вiдносить їх до вiдповiдної категорiї i, якщо це можливо i доцiльно, наприкiнцi кожного фiнансового року проводить аналiз таких активiв на предмет перегляду вiдповiдностi категорiї, до якої вони були вiднесенi.</w:t>
      </w:r>
      <w:r>
        <w:rPr>
          <w:rFonts w:eastAsia="Times New Roman"/>
          <w:color w:val="000000"/>
        </w:rPr>
        <w:br/>
        <w:t>Всi звичайнi операцiї з придбання й продажу фiнансових активiв вiдображаються на дату операцiї, тобто на дату, коли Компанiя бере на себе зобов'язання з придбання активу. До звичайних операцiй з придбання або продажу вiдносяться операцiї з придбання або продажу фiнансових активiв, умови яких вимагають передачi активiв у строки, встановленi законодавством або прийнятi на вiдповiдному ринку.</w:t>
      </w:r>
      <w:r>
        <w:rPr>
          <w:rFonts w:eastAsia="Times New Roman"/>
          <w:color w:val="000000"/>
        </w:rPr>
        <w:br/>
        <w:t xml:space="preserve">Подальша оцiнка </w:t>
      </w:r>
      <w:r>
        <w:rPr>
          <w:rFonts w:eastAsia="Times New Roman"/>
          <w:color w:val="000000"/>
        </w:rPr>
        <w:br/>
        <w:t>Нижче описано вплив класифiкацiї фiнансових активiв при їх первiсному визнаннi на їх подальшу оцiнку:</w:t>
      </w:r>
      <w:r>
        <w:rPr>
          <w:rFonts w:eastAsia="Times New Roman"/>
          <w:color w:val="000000"/>
        </w:rPr>
        <w:br/>
        <w:t>Фiнансовi активи за справедливою вартiстю з вiдображенням переоцiнки як прибутку або збитку</w:t>
      </w:r>
      <w:r>
        <w:rPr>
          <w:rFonts w:eastAsia="Times New Roman"/>
          <w:color w:val="000000"/>
        </w:rPr>
        <w:br/>
      </w:r>
      <w:r>
        <w:rPr>
          <w:rFonts w:eastAsia="Times New Roman"/>
          <w:color w:val="000000"/>
        </w:rPr>
        <w:lastRenderedPageBreak/>
        <w:t>Категорiя "фiнансовi активи за справедливою вартiстю з вiдображенням переоцiнки як прибутку або збитку" включає фiнансовi активи, якi класифiковано як утримуванi для продажу та фiнансовi активи, якi при первiсному визнаннi вiднесено до категорiї оцiнюваних за справедливою вартiстю з вiдображенням переоцiнки як прибутку або збитку.</w:t>
      </w:r>
      <w:r>
        <w:rPr>
          <w:rFonts w:eastAsia="Times New Roman"/>
          <w:color w:val="000000"/>
        </w:rPr>
        <w:br/>
        <w:t>Станом на звiтнi дати, якi представлено в цiй фiнансовiй звiтностi, на балансi Компанiї вiдсутнi фiнансовi активи, якi при первiсному визнаннi класифiковано як фiнансовi активи за справедливою вартiстю з вiдображенням переоцiнки як прибутку або збитку.</w:t>
      </w:r>
      <w:r>
        <w:rPr>
          <w:rFonts w:eastAsia="Times New Roman"/>
          <w:color w:val="000000"/>
        </w:rPr>
        <w:br/>
        <w:t>Позики та дебiторська заборгованiсть</w:t>
      </w:r>
      <w:r>
        <w:rPr>
          <w:rFonts w:eastAsia="Times New Roman"/>
          <w:color w:val="000000"/>
        </w:rPr>
        <w:br/>
        <w:t>Позики та дебiторська заборгованiсть - це непохiднi фiнансовi активи з фiксованими платежами або платежами, якi пiдлягають визначенню та не мають котирування на активному ринку. Пiсля первiсного визнання такi активи оцiнюються за амортизованою собiвартiстю, застосовуючи метод ефективного вiдсотка за вирахуванням збитку вiд зменшення корисностi. Амортизована собiвартiсть розраховується з врахуванням всiх гонорарiв та додаткових комiсiйних зборiв, якi сплаченi або отриманi сторонами контракту, витрат на операцiю та всiх iнших премiй чи дисконтiв.</w:t>
      </w:r>
      <w:r>
        <w:rPr>
          <w:rFonts w:eastAsia="Times New Roman"/>
          <w:color w:val="000000"/>
        </w:rPr>
        <w:br/>
        <w:t>Прибутки та збитки за такими активами вiдображуються у звiтi про прибутки та збитки при припиненнi визнання або зменшеннi корисностi таких активiв, а також у процесi амортизацiї. Амортизацiя iз застосуванням ефективної ставки вiдсотка включається до складу фiнансових доходiв в звiтi про сукупнi доходи.</w:t>
      </w:r>
      <w:r>
        <w:rPr>
          <w:rFonts w:eastAsia="Times New Roman"/>
          <w:color w:val="000000"/>
        </w:rPr>
        <w:br/>
        <w:t>Iнвестицiї, утримуванi до погашення</w:t>
      </w:r>
      <w:r>
        <w:rPr>
          <w:rFonts w:eastAsia="Times New Roman"/>
          <w:color w:val="000000"/>
        </w:rPr>
        <w:br/>
        <w:t>Непохiднi фiнансовi активи з фiксованими платежами або платежами, якi пiдлягають визначенню, а також фiксованим строком погашення класифiкуються як iнвестицiї, утримуванi до погашення, якщо Компанiя має реальний намiр та здатнiсть утримувати їх до настання строку погашення. Пiсля первiсного визнання iнвестицiї, утримуванi до погашення, оцiнюються за амортизованою собiвартiстю, розрахованою за методом ефективного вiдсотка за вирахуванням збиткiв вiд зменшення корисностi. Амортизована собiвартiсть розраховується з врахуванням всiх гонорарiв та додаткових комiсiйних зборiв, якi сплаченi або отриманi сторонами контракту, витрат на операцiю та всiх iнших премiй чи дисконтiв.</w:t>
      </w:r>
      <w:r>
        <w:rPr>
          <w:rFonts w:eastAsia="Times New Roman"/>
          <w:color w:val="000000"/>
        </w:rPr>
        <w:br/>
        <w:t>Прибутки та збитки за iнвестицiями, утримуваними до погашення, вiдображуються у звiтi про прибутки та збитки при вибуттi або зменшеннi корисностi таких активiв, а також у процесi амортизацiї. Амортизацiя iз застосуванням ефективної ставки вiдсотка включається до складу фiнансових доходiв в звiтi про прибутки та збитки.</w:t>
      </w:r>
      <w:r>
        <w:rPr>
          <w:rFonts w:eastAsia="Times New Roman"/>
          <w:color w:val="000000"/>
        </w:rPr>
        <w:br/>
        <w:t>Фiнансовi активи, доступнi для продажу</w:t>
      </w:r>
      <w:r>
        <w:rPr>
          <w:rFonts w:eastAsia="Times New Roman"/>
          <w:color w:val="000000"/>
        </w:rPr>
        <w:br/>
        <w:t>Фiнансовi активи, доступнi для продажу, є непохiдними фiнансовими активами, якi класифiковано як "доступнi для продажу" та, вiдповiдно, не вiднесено до жодної iншої категорiї фiнансових активiв, якi зазначено вище. Пiсля первiсного визнання фiнансовi активи, доступнi для продажу, оцiнюються за справедливою вартiстю. При цьому, нереалiзованi прибутки чи збитки вiдображаються безпосередньо у складi капiталу (через визнання в складi iншого сукупного доходу) до моменту припинення визнання або зменшення корисностi таких активiв. При припиненнi визнання або визначеннi активiв, доступних для продажу, такими, кориснiсть яких зменшилася, накопиченi прибутки або збитки, ранiше вiдображенi в складi капiталу, включаються до звiту про прибутки та збитки.</w:t>
      </w:r>
      <w:r>
        <w:rPr>
          <w:rFonts w:eastAsia="Times New Roman"/>
          <w:color w:val="000000"/>
        </w:rPr>
        <w:br/>
        <w:t>Станом на звiтнi дати, якi представлено в цiй фiнансовiй звiтностi, в Компанiї вiдсутнi фiнансовi активи, якi при первiсному визнаннi класифiковано як фiнансовi активи, доступнi для продажу.</w:t>
      </w:r>
      <w:r>
        <w:rPr>
          <w:rFonts w:eastAsia="Times New Roman"/>
          <w:color w:val="000000"/>
        </w:rPr>
        <w:br/>
        <w:t>Припинення визнання</w:t>
      </w:r>
      <w:r>
        <w:rPr>
          <w:rFonts w:eastAsia="Times New Roman"/>
          <w:color w:val="000000"/>
        </w:rPr>
        <w:br/>
        <w:t>Визнання фiнансового активу (або, де доречно, частини фiнансового активу, або частини групи подiбних фiнансових активiв) припиняється, якщо строк дiї контрактних прав Компанiї на грошовi потоки вiд фiнансового активу закiнчився.</w:t>
      </w:r>
      <w:r>
        <w:rPr>
          <w:rFonts w:eastAsia="Times New Roman"/>
          <w:color w:val="000000"/>
        </w:rPr>
        <w:br/>
      </w:r>
      <w:r>
        <w:rPr>
          <w:rFonts w:eastAsia="Times New Roman"/>
          <w:color w:val="000000"/>
        </w:rPr>
        <w:lastRenderedPageBreak/>
        <w:t>Компанiя зберiгає контрактнi права на одержання грошових потокiв вiд фiнансового активу, але бере на себе контрактне зобов'язання сплатити цi грошовi потоки одному чи декiльком одержувачам повнiстю без суттєвої затримки третiй сторонi на умовах "транзитної" угоди; та або (а) передала практично всi ризики та винагороди вiд володiння активом, або (б) не передала, але й не зберiгає за собою всi ризики та винагороди вiд володiння активом, але передала контроль над цим активом.</w:t>
      </w:r>
      <w:r>
        <w:rPr>
          <w:rFonts w:eastAsia="Times New Roman"/>
          <w:color w:val="000000"/>
        </w:rPr>
        <w:br/>
        <w:t xml:space="preserve">У випадку, якщо Компанiя передала контрактнi права на одержання грошових потокiв вiд фiнансового активу, або уклала "транзитну угоду" та, при цьому, не передала, але й не зберегла в основному всi ризики та винагороди вiд володiння фiнансовим активом, а також зберегла контроль над ним, такий актив продовжує визнаватися в межах подальшої участi Компанiї в цьому фiнансовому активi. При цьому, визнається вiдповiдне контрактне зобов'язання по сплатi отриманих грошових потокiв кiнцевим одержувачам. </w:t>
      </w:r>
      <w:r>
        <w:rPr>
          <w:rFonts w:eastAsia="Times New Roman"/>
          <w:color w:val="000000"/>
        </w:rPr>
        <w:br/>
        <w:t>Переданий фiнансовий актив та визнане зобов'язання оцiнюються на основi, яка вiдображає права та зобов'язання Компанiї, створенi або збереженнi при передачi активу.</w:t>
      </w:r>
      <w:r>
        <w:rPr>
          <w:rFonts w:eastAsia="Times New Roman"/>
          <w:color w:val="000000"/>
        </w:rPr>
        <w:br/>
        <w:t>Зменшення корисностi</w:t>
      </w:r>
      <w:r>
        <w:rPr>
          <w:rFonts w:eastAsia="Times New Roman"/>
          <w:color w:val="000000"/>
        </w:rPr>
        <w:br/>
        <w:t>Наприкiнцi кожного звiтного перiоду Компанiя оцiнює чи є об'єктивне свiдчення того, що кориснiсть фiнансового активу чи групи фiнансових активiв зменшилася. Кориснiсть фiнансового активу або групи фiнансових активiв зменшується i збитки вiд зменшення корисностi виникають якщо, i тiльки якщо, є об'єктивне свiдчення зменшення корисностi внаслiдок однiєї або кiлькох подiй, якi вiдбулися пiсля первiсного визнання активу, i така подiя (або подiї) виникнення збитку впливає (впливають) на попередньо оцiненi майбутнi грошовi потоки вiд фiнансового активу або групи фiнансових активiв, якi можна достовiрно оцiнити.</w:t>
      </w:r>
      <w:r>
        <w:rPr>
          <w:rFonts w:eastAsia="Times New Roman"/>
          <w:color w:val="000000"/>
        </w:rPr>
        <w:br/>
        <w:t>Об'єктивне свiдчення того, що кориснiсть фiнансового активу або групи активiв зменшилася, мiстить у собi спостережнi данi, якi привертають увагу утримувача активу до таких подiй виникнення збитку як значнi фiнансовi труднощi емiтента або боржника, порушення контракту, таке як невиконання зобов'язань чи прострочення платежiв вiдсоткiв або основної суми, ймовiрнiсть того, що позичальник оголосить банкрутство чи iншу фiнансову реорганiзацiю. Також, до таких свiдчень вiдносяться спостережнi данi, що свiдчать про зменшення, яке можна оцiнити, попередньо оцiнених майбутнiх грошових потокiв вiд групи фiнансових активiв з часу первiсного визнання цих активiв, такi як негативнi змiни в станi платежiв позичальникiв у групi або нацiональнi чи локальнi економiчнi умови, якi корелюють iз невиконанням зобов'язань за активами у групi.</w:t>
      </w:r>
      <w:r>
        <w:rPr>
          <w:rFonts w:eastAsia="Times New Roman"/>
          <w:color w:val="000000"/>
        </w:rPr>
        <w:br/>
        <w:t>Фiнансовi активи, облiковуванi за амортизованою собiвартiстю</w:t>
      </w:r>
      <w:r>
        <w:rPr>
          <w:rFonts w:eastAsia="Times New Roman"/>
          <w:color w:val="000000"/>
        </w:rPr>
        <w:br/>
        <w:t>Стосовно фiнансових активiв, облiковуваних за амортизованою собiвартiстю, Компанiя спочатку оцiнює чи iснує об'єктивне свiдчення зменшення корисностi окремо для фiнансових активiв, якi окремо є суттєвими, та (окремо або в сукупностi) для фiнансових активiв, якi не є окремо суттєвими. Якщо Компанiя визначає, що немає об'єктивного свiдчення зменшення корисностi для окремо оцiненого фiнансового активу (незалежно вiд того, чи є вiн суттєвим), то такий актив включається у групу фiнансових активiв з подiбними характеристиками кредитного ризику та оцiнює їх на зменшення корисностi у сукупностi. Активи, якi окремо оцiнюють на зменшення корисностi i для яких збиток вiд зменшення корисностi визнається або продовжує визнаватися, не включається в сукупну оцiнку зменшення корисностi.</w:t>
      </w:r>
      <w:r>
        <w:rPr>
          <w:rFonts w:eastAsia="Times New Roman"/>
          <w:color w:val="000000"/>
        </w:rPr>
        <w:br/>
        <w:t xml:space="preserve">Якщо є об'єктивне свiдчення того, що вiдбувся збиток вiд зменшення корисностi, суму такого збитку оцiнюють як рiзницю мiж балансовою вартiстю активу та теперiшньою вартiстю попередньо оцiнених майбутнiх грошових потокiв (за винятком майбутнiх кредитних збиткiв, якi не були понесенi), дисконтованих за первiсною ефективною ставкою вiдсотка фiнансового активу (тобто, ефективною ставкою вiдсотка, обчисленою при первiсному визнаннi). Якщо фiнансовi активи, якi облiковуються за амортизованою собiвартiстю, мають змiнну ставку вiдсотка, то ставка дисконту для оцiнювання будь-якого збитку вiд зменшення корисностi є поточною ефективною ставкою вiдсотка </w:t>
      </w:r>
      <w:r>
        <w:rPr>
          <w:rFonts w:eastAsia="Times New Roman"/>
          <w:color w:val="000000"/>
        </w:rPr>
        <w:lastRenderedPageBreak/>
        <w:t>(ставками вiдсотка), визначеною за контрактом.</w:t>
      </w:r>
      <w:r>
        <w:rPr>
          <w:rFonts w:eastAsia="Times New Roman"/>
          <w:color w:val="000000"/>
        </w:rPr>
        <w:br/>
        <w:t>Балансова вартiсть активу зменшується шляхом застосування рахунку резервiв, а сума збитку вiд зменшення корисностi визнається в складi прибутку чи збитку за перiод. Пiсля часткового списання фiнансового активу або групи подiбних фiнансових активiв внаслiдок збитку вiд зменшення корисностi, вiдсотковий дохiд визнається на основi ставки вiдсотка, застосованої для дисконтування майбутнiх грошових потокiв з метою оцiнювання збитку вiд зменшення корисностi. Вiдсотковi доходи вiдображаються в звiтi про сукупнi доходи в складi</w:t>
      </w:r>
      <w:r>
        <w:rPr>
          <w:rFonts w:eastAsia="Times New Roman"/>
          <w:color w:val="000000"/>
        </w:rPr>
        <w:br/>
        <w:t xml:space="preserve">фiнансових доходiв. Фiнансовi активи разом iз вiдповiдними резервами списуються з балансу в разi вiдсутностi реальної перспективи їх вiдшкодування у майбутньому. </w:t>
      </w:r>
      <w:r>
        <w:rPr>
          <w:rFonts w:eastAsia="Times New Roman"/>
          <w:color w:val="000000"/>
        </w:rPr>
        <w:br/>
        <w:t xml:space="preserve">Якщо в наступному перiодi сума збитку вiд зменшення корисностi зменшується i це зменшення може бути об'єктивно пов'язаним з подiєю, яка вiдбулася пiсля зменшення корисностi (наприклад покращення кредитного рейтингу боржника), то попередньо визнаний збиток вiд зменшення корисностi слiд сторнувати шляхом коригування рахунку резервiв. Таке сторнування не повинне призводити до виникнення балансової вартостi фiнансового активу, що перевищувала б його амортизовану собiвартiсть, яка була б у разi невизнання зменшення корисностi. Суму сторнування слiд визнавати у прибутку чи збитку. </w:t>
      </w:r>
      <w:r>
        <w:rPr>
          <w:rFonts w:eastAsia="Times New Roman"/>
          <w:color w:val="000000"/>
        </w:rPr>
        <w:br/>
        <w:t>Фiнансовi iнвестицiї, доступнi для продажу</w:t>
      </w:r>
      <w:r>
        <w:rPr>
          <w:rFonts w:eastAsia="Times New Roman"/>
          <w:color w:val="000000"/>
        </w:rPr>
        <w:br/>
        <w:t>Стосовно фiнансових iнвестицiй, доступних для продажу, Компанiя на кожну звiтну дату оцiнює наявнiсть об'єктивних свiдчень зменшення корисностi фiнансової iнвестицiї або групи фiнансових iнвестицiй.</w:t>
      </w:r>
      <w:r>
        <w:rPr>
          <w:rFonts w:eastAsia="Times New Roman"/>
          <w:color w:val="000000"/>
        </w:rPr>
        <w:br/>
        <w:t>У випадку, коли iнвестицiї в iнструмент власного капiталу класифiкованi як доступнi для продажу, об'єктивним свiдченням зменшення корисностi є значне чи тривале зменшення справедливої вартостi iнвестицiї нижче її собiвартостi. Якщо зменшення справедливої вартостi доступного для продажу фiнансового активу визнано в iншому сукупному прибутку, а також є об'єктивне свiдчення того, що кориснiсть активу зменшується, тодi кумулятивний збиток, який був визнаний в iншому сукупному прибутку, виключається з власного капiталу i визнається в прибутку чи збитку як коригування внаслiдок перекласифiкацiї, навiть якщо визнання фiнансового активу не припинялося. Сума кумулятивного збитку, який перекласифiковується, є рiзницею мiж вартiстю придбання iнструмента участi в капiталi та його поточною справедливою вартiстю за мiнусом будь-якого збитку вiд зменшення корисностi цього фiнансового активу, ранiше визнаного у прибутку чи збитку. Збитки вiд зменшення корисностi, визнанi у прибутку чи збитку для iнвестицiй в iнструмент власного капiталу, класифiкований як доступний для продажу, не слiд сторнувати з вiдображенням переоцiнки як прибутку або збитку.</w:t>
      </w:r>
      <w:r>
        <w:rPr>
          <w:rFonts w:eastAsia="Times New Roman"/>
          <w:color w:val="000000"/>
        </w:rPr>
        <w:br/>
        <w:t xml:space="preserve">У випадку, коли борговi iнструменти класифiкованi як доступнi для продажу, наявнiсть об'єктивного свiдчення зменшення корисностi визначається аналогiчно до фiнансових активiв, що облiковуються за амортизованою собiвартiстю. Але, сума визнаного збитку вiд зменшення корисностi фактично є кумулятивним збитком, який визначається як рiзниця мiж амортизованою собiвартiстю такого боргового iнструмента та його поточною справедливою вартiстю за мiнусом будь-якого збитку вiд зменшення корисностi цього фiнансового активу, ранiше визнаного у прибутку чи збитку. </w:t>
      </w:r>
      <w:r>
        <w:rPr>
          <w:rFonts w:eastAsia="Times New Roman"/>
          <w:color w:val="000000"/>
        </w:rPr>
        <w:br/>
        <w:t>Визнання вiдсоткового доходу, пiсля часткового списання фiнансового активу або групи подiбних фiнансових активiв внаслiдок збитку вiд зменшення корисностi, вiдбувається на основi ставки вiдсотка, застосованої для дисконтування майбутнiх грошових потокiв з метою оцiнювання збитку вiд зменшення корисностi. Вiдсотковi доходи вiдображаються в звiтi про сукупнi доходи в складi фiнансових доходiв. Якщо у наступному перiодi справедлива вартiсть такого боргового iнструменту збiльшується, i це збiльшення може бути об'єктивно пов'язаним iз подiєю, яка вiдбувається пiсля визнання збитку вiд зменшення корисностi у прибутку чи збитку, тодi збиток вiд зменшення корисностi слiд сторнувати з визнанням суми сторнування у прибутку чи збитку.</w:t>
      </w:r>
      <w:r>
        <w:rPr>
          <w:rFonts w:eastAsia="Times New Roman"/>
          <w:color w:val="000000"/>
        </w:rPr>
        <w:br/>
      </w:r>
      <w:r>
        <w:rPr>
          <w:rFonts w:eastAsia="Times New Roman"/>
          <w:color w:val="000000"/>
        </w:rPr>
        <w:lastRenderedPageBreak/>
        <w:t>4.7. Фiнансовi зобов'язання</w:t>
      </w:r>
      <w:r>
        <w:rPr>
          <w:rFonts w:eastAsia="Times New Roman"/>
          <w:color w:val="000000"/>
        </w:rPr>
        <w:br/>
        <w:t>Первiсне визнання</w:t>
      </w:r>
      <w:r>
        <w:rPr>
          <w:rFonts w:eastAsia="Times New Roman"/>
          <w:color w:val="000000"/>
        </w:rPr>
        <w:br/>
        <w:t>Фiнансовi зобов'язання, що входять до сфери застосування МСБО 39, класифiкуються вiдповiдно як фiнансовi зобов'язання за справедливою вартiстю з вiдображенням переоцiнки як прибутку або збитку, кредити та позики, торгова та iнша кредиторська заборгованiсть, контракти фiнансової гарантiї або похiднi фiнансовi iнструменти, призначенi як iнструменти хеджування. В момент первiсного визнання фiнансових зобов'язань Компанiя вiдносить їх до вiдповiдної категорiї.</w:t>
      </w:r>
      <w:r>
        <w:rPr>
          <w:rFonts w:eastAsia="Times New Roman"/>
          <w:color w:val="000000"/>
        </w:rPr>
        <w:br/>
        <w:t>Пiд час первiсного визнання фiнансовi зобов'язання оцiнюються за справедливою вартiстю плюс (у випадку фiнансового зобов'язання не за справедливою вартiстю з вiдображенням переоцiнки як прибутку або збитку) витрати на операцiю, якi прямо вiдносяться до придбання або випуску фiнансового зобов'язання.</w:t>
      </w:r>
      <w:r>
        <w:rPr>
          <w:rFonts w:eastAsia="Times New Roman"/>
          <w:color w:val="000000"/>
        </w:rPr>
        <w:br/>
        <w:t>Фiнансовi зобов'язання Компанiї включають кредити та позики, а також торгову та iншу кредиторську заборгованiсть.</w:t>
      </w:r>
      <w:r>
        <w:rPr>
          <w:rFonts w:eastAsia="Times New Roman"/>
          <w:color w:val="000000"/>
        </w:rPr>
        <w:br/>
        <w:t xml:space="preserve">Подальша оцiнка </w:t>
      </w:r>
      <w:r>
        <w:rPr>
          <w:rFonts w:eastAsia="Times New Roman"/>
          <w:color w:val="000000"/>
        </w:rPr>
        <w:br/>
        <w:t>Нижче описано вплив класифiкацiї фiнансових зобов'язань при їх первiсному визнаннi на їх подальшу оцiнку:</w:t>
      </w:r>
      <w:r>
        <w:rPr>
          <w:rFonts w:eastAsia="Times New Roman"/>
          <w:color w:val="000000"/>
        </w:rPr>
        <w:br/>
        <w:t>Фiнансовi зобов’язання за справедливою вартiстю з вiдображенням переоцiнки як прибутку або збитку</w:t>
      </w:r>
      <w:r>
        <w:rPr>
          <w:rFonts w:eastAsia="Times New Roman"/>
          <w:color w:val="000000"/>
        </w:rPr>
        <w:br/>
        <w:t>Категорiя "фiнансовi зобов'язання за справедливою вартiстю з вiдображенням переоцiнки як прибутку або збитку" включає фiнансовi зобов'язання, якi класифiковано як утримуванi для продажу та фiнансовi зобов'язання, якi при первiсному визнаннi вiднесено до категорiї оцiнюваних за справедливою вартiстю з вiдображенням переоцiнки як прибутку або збитку.</w:t>
      </w:r>
      <w:r>
        <w:rPr>
          <w:rFonts w:eastAsia="Times New Roman"/>
          <w:color w:val="000000"/>
        </w:rPr>
        <w:br/>
        <w:t>Станом на звiтнi дати, якi представлено в цiй фiнансовiй звiтностi, на балансi Компанiї вiдсутнi фiнансовi зобов'язання, якi при первiсному визнаннi класифiковано як фiнансовi зобов'язання за справедливою вартiстю з вiдображенням переоцiнки як прибутку або збитку.</w:t>
      </w:r>
      <w:r>
        <w:rPr>
          <w:rFonts w:eastAsia="Times New Roman"/>
          <w:color w:val="000000"/>
        </w:rPr>
        <w:br/>
        <w:t>Кредити та позики</w:t>
      </w:r>
      <w:r>
        <w:rPr>
          <w:rFonts w:eastAsia="Times New Roman"/>
          <w:color w:val="000000"/>
        </w:rPr>
        <w:br/>
        <w:t>Пiсля первiсного визнання кредити та позики оцiнюються за амортизованою собiвартiстю iз застосуванням методу ефективного вiдсотка.</w:t>
      </w:r>
      <w:r>
        <w:rPr>
          <w:rFonts w:eastAsia="Times New Roman"/>
          <w:color w:val="000000"/>
        </w:rPr>
        <w:br/>
        <w:t xml:space="preserve">Прибутки та збитки за такими фiнансовими зобов'язаннями вiдображуються у звiтi про прибутки та збитки при припиненнi визнання, а також у процесi амортизацiї iз застосуванням ефективної ставки вiдсотка. </w:t>
      </w:r>
      <w:r>
        <w:rPr>
          <w:rFonts w:eastAsia="Times New Roman"/>
          <w:color w:val="000000"/>
        </w:rPr>
        <w:br/>
        <w:t>Амортизована собiвартiсть розраховується з врахуванням всiх гонорарiв та додаткових комiсiйних зборiв, якi сплаченi або отриманi сторонами контракту, витрат на операцiю та всiх iнших премiй чи дисконтiв. Амортизацiя iз застосуванням ефективної ставки вiдсотка включається до складу фiнансових витрат в звiтi про сукупнi доходи.</w:t>
      </w:r>
      <w:r>
        <w:rPr>
          <w:rFonts w:eastAsia="Times New Roman"/>
          <w:color w:val="000000"/>
        </w:rPr>
        <w:br/>
        <w:t>Торгова та iнша кредиторська заборгованiсть</w:t>
      </w:r>
      <w:r>
        <w:rPr>
          <w:rFonts w:eastAsia="Times New Roman"/>
          <w:color w:val="000000"/>
        </w:rPr>
        <w:br/>
        <w:t>Пiсля первiсного визнання торгова та iнша кредиторська заборгованiсть з визначеною датою погашення оцiнюється за амортизованою собiвартiстю, яка розраховується iз застосуванням ефективної ставки вiдсотка, з врахуванням всiх гонорарiв та додаткових комiсiйних зборiв, якi сплаченi або отриманi сторонами контракту, витрат на операцiю та всiх iнших премiй чи дисконтiв. Амортизацiя iз застосуванням ефективної ставки вiдсотка включається до складу фiнансових витрат в звiтi про сукупнi доходи.</w:t>
      </w:r>
      <w:r>
        <w:rPr>
          <w:rFonts w:eastAsia="Times New Roman"/>
          <w:color w:val="000000"/>
        </w:rPr>
        <w:br/>
        <w:t xml:space="preserve">Припинення визнання </w:t>
      </w:r>
      <w:r>
        <w:rPr>
          <w:rFonts w:eastAsia="Times New Roman"/>
          <w:color w:val="000000"/>
        </w:rPr>
        <w:br/>
        <w:t>Компанiя виключає фiнансове зобов'язання зi звiту про фiнансовий стан тодi, i тiльки тодi, коли його погашають, тобто, коли заборгованiсть, визначену в контрактi, погашено, анульовано або строк її дiї закiнчується.</w:t>
      </w:r>
      <w:r>
        <w:rPr>
          <w:rFonts w:eastAsia="Times New Roman"/>
          <w:color w:val="000000"/>
        </w:rPr>
        <w:br/>
        <w:t xml:space="preserve">Обмiн одного фiнансового зобов'язання на iнше на суттєво вiдмiнних умовах облiковується як погашення первiсного фiнансового зобов'язання та визнання нового фiнансового зобов'язання. Подiбно до цього, значну змiну умов iснуючого фiнансового </w:t>
      </w:r>
      <w:r>
        <w:rPr>
          <w:rFonts w:eastAsia="Times New Roman"/>
          <w:color w:val="000000"/>
        </w:rPr>
        <w:lastRenderedPageBreak/>
        <w:t>зобов'язання або його частини облiковується як погашення первiсного фiнансового зобов'язання та визнання нового фiнансового зобов'язання. Рiзниця мiж балансовою вартiстю погашеного або переданого iншiй сторонi фiнансового зобов'язання (або частини фiнансового зобов'язання) та сплаченою компенсацiєю визнається в прибутку чи збитку.</w:t>
      </w:r>
      <w:r>
        <w:rPr>
          <w:rFonts w:eastAsia="Times New Roman"/>
          <w:color w:val="000000"/>
        </w:rPr>
        <w:br/>
        <w:t>Справедлива вартiсть фiнансових iнструментiв</w:t>
      </w:r>
      <w:r>
        <w:rPr>
          <w:rFonts w:eastAsia="Times New Roman"/>
          <w:color w:val="000000"/>
        </w:rPr>
        <w:br/>
        <w:t>Справедлива вартiсть фiнансових iнструментiв, торгiвля якими здiйснюється на активних ринках, на кожну звiтну дату визначається виходячи з ринкової цiни котирування.</w:t>
      </w:r>
      <w:r>
        <w:rPr>
          <w:rFonts w:eastAsia="Times New Roman"/>
          <w:color w:val="000000"/>
        </w:rPr>
        <w:br/>
        <w:t>Якщо ринок для фiнансового iнструменту не є активним, Компанiя встановлює справедливу вартiсть, застосовуючи метод оцiнювання. Методи оцiнювання охоплюють застосування останнiх ринкових операцiй мiж обiзнаними, зацiкавленими та незалежними сторонами, посилання на поточну справедливу вартiсть iншого iнструмента, який в основному є подiбним, аналiз дисконтованих грошових потокiв та iншi моделi оцiнки.</w:t>
      </w:r>
      <w:r>
        <w:rPr>
          <w:rFonts w:eastAsia="Times New Roman"/>
          <w:color w:val="000000"/>
        </w:rPr>
        <w:br/>
        <w:t>Згортання фiнансових iнструментiв</w:t>
      </w:r>
      <w:r>
        <w:rPr>
          <w:rFonts w:eastAsia="Times New Roman"/>
          <w:color w:val="000000"/>
        </w:rPr>
        <w:br/>
        <w:t>Фiнансовий актив та фiнансове зобов'язання згортається, а чиста сума подається в звiтi про фiнансовий стан якщо, i тiльки якщо, Компанiя має юридично забезпечене право на згортання визнаних сум та має намiр погасити зобов'язання на нетто-основi або продати актив й одночасно погасити зобов'язання.</w:t>
      </w:r>
      <w:r>
        <w:rPr>
          <w:rFonts w:eastAsia="Times New Roman"/>
          <w:color w:val="000000"/>
        </w:rPr>
        <w:br/>
        <w:t xml:space="preserve">4.8. Операцiї в iноземнiй валютi </w:t>
      </w:r>
      <w:r>
        <w:rPr>
          <w:rFonts w:eastAsia="Times New Roman"/>
          <w:color w:val="000000"/>
        </w:rPr>
        <w:br/>
        <w:t>Операцiї в iноземнiй валютi первiсно вiдображаються у гривнях за обмiнним курсом Нацiонального банку України ("НБУ"), що дiє на дату операцiї. Монетарнi активи i зобов’язання, деномiнованi в iноземнiй валютi, перераховуються у гривнi за офiцiйним курсом НБУ, що дiє на звiтну дату. Всi прибутки та збитки вiд курсових рiзниць, що виникають у ходi здiйснення операцiй та в результатi перерахунку активiв та зобов’язань, вiдображаються у звiтi про фiнансовi результати як курсовi рiзницi. Немонетарнi статтi, якi оцiнюються за iсторичною вартiстю в iноземнiй валютi, перераховуються в гривнi за обмiнним курсом, що дiяв на дату первiсної операцiї. Немонетарнi статтi, якi оцiнюються за справедливою вартiстю в iноземнiй валютi, перераховуються за обмiнним курсом, що дiяв на дату визначення справедливої вартостi.</w:t>
      </w:r>
      <w:r>
        <w:rPr>
          <w:rFonts w:eastAsia="Times New Roman"/>
          <w:color w:val="000000"/>
        </w:rPr>
        <w:br/>
        <w:t xml:space="preserve">4.9. Визнання доходiв та витрат </w:t>
      </w:r>
      <w:r>
        <w:rPr>
          <w:rFonts w:eastAsia="Times New Roman"/>
          <w:color w:val="000000"/>
        </w:rPr>
        <w:br/>
        <w:t xml:space="preserve">Дохiд визнається, коли iснує впевненiсть, що економiчнi вигоди, якi випливають iз проведеної операцiї, будуть отриманi Компанiєю, i обсяг доходу може бути достовiрно визначений. Дохiд, за вирахуванням вiдповiдних податкiв, визнається в перiодi, коли покупцевi переданi iстотнi ризики й вигоди. </w:t>
      </w:r>
      <w:r>
        <w:rPr>
          <w:rFonts w:eastAsia="Times New Roman"/>
          <w:color w:val="000000"/>
        </w:rPr>
        <w:br/>
        <w:t xml:space="preserve">Вiдвантаженi товари i продукцiя, виконанi i прийнятi замовниками роботи, наданi послуги, переданi покупцям необоротнi активи та iншi активи на пiдставi умов договорiв, якi передбачають перехiд до покупцiв i замовникiв прав власностi та ризикiв - вважаються реалiзованими. Дохiд вiд реалiзацiї товарiв послуг та продукцiї визнається за умови наявностi всiх наведених нижче умов: покупцевi переданi ризики й вигоди, пов'язанi з правом власностi, пiдприємство не здiйснює надалi управлiння та контроль за реалiзованою продукцiєю (товарами, iншими активами), сума доходу (виручка) може бути достовiрно визначена, є впевненiсть, що в результатi операцiї вiдбудеться збiльшення економiчних вигод Компанiї, а витрати, пов'язанi з цiєю операцiєю, можуть бути достовiрно визначенi. </w:t>
      </w:r>
      <w:r>
        <w:rPr>
          <w:rFonts w:eastAsia="Times New Roman"/>
          <w:color w:val="000000"/>
        </w:rPr>
        <w:br/>
        <w:t xml:space="preserve">Аванси, отриманi вiд покупцiв або замовникiв за товари та продукцiю, в бухгалтерському облiку та звiтностi не включаються до складу доходiв вiд реалiзацiї до дати вiдвантаження товарiв або продукцiї. </w:t>
      </w:r>
      <w:r>
        <w:rPr>
          <w:rFonts w:eastAsia="Times New Roman"/>
          <w:color w:val="000000"/>
        </w:rPr>
        <w:br/>
        <w:t xml:space="preserve">Iншi доходи i витрати вiдображаються в бухгалтерському облiку i звiтностi в момент їх виникнення (понесення) за принципами нарахування та вiдповiдностi незалежно вiд дати надходження чи сплати коштiв. </w:t>
      </w:r>
      <w:r>
        <w:rPr>
          <w:rFonts w:eastAsia="Times New Roman"/>
          <w:color w:val="000000"/>
        </w:rPr>
        <w:br/>
        <w:t xml:space="preserve">Витрати визнаються витратами певного перiоду одночасно з визнанням доходу, для отримання якого вони здiйсненi. Витрати, якi неможливо прямо пов'язати з доходом певного перiоду, вiдображаються у складi витрат того звiтного перiоду, в якому вони були </w:t>
      </w:r>
      <w:r>
        <w:rPr>
          <w:rFonts w:eastAsia="Times New Roman"/>
          <w:color w:val="000000"/>
        </w:rPr>
        <w:lastRenderedPageBreak/>
        <w:t xml:space="preserve">здiйсненi. </w:t>
      </w:r>
      <w:r>
        <w:rPr>
          <w:rFonts w:eastAsia="Times New Roman"/>
          <w:color w:val="000000"/>
        </w:rPr>
        <w:br/>
        <w:t>Якщо актив забезпечує одержання економiчних вигод протягом кiлькох звiтних перiодiв, то витрати визнаються шляхом систематичного розподiлу його вартостi мiж вiдповiдними звiтними перiодами. Доходи або витрати, що виявленi у звiтному перiодi, але вiдносяться до операцiй, проведених у минулих перiодах, зараховуються до фiнансових результатiв попереднiх перiодiв.</w:t>
      </w:r>
      <w:r>
        <w:rPr>
          <w:rFonts w:eastAsia="Times New Roman"/>
          <w:color w:val="000000"/>
        </w:rPr>
        <w:br/>
        <w:t xml:space="preserve">4.10. Фiнансовi доходи та витрати </w:t>
      </w:r>
      <w:r>
        <w:rPr>
          <w:rFonts w:eastAsia="Times New Roman"/>
          <w:color w:val="000000"/>
        </w:rPr>
        <w:br/>
        <w:t>В складi фiнансових доходiв вiдображаються доходи, якi отримує Компанiя в результатi використання iншими пiдприємствами її активiв (вiдсотковi доходи на iнвестованi кошти). Вiдсотковi доходи визнаються iз застосуванням методу ефективної ставки вiдсотка.</w:t>
      </w:r>
      <w:r>
        <w:rPr>
          <w:rFonts w:eastAsia="Times New Roman"/>
          <w:color w:val="000000"/>
        </w:rPr>
        <w:br/>
        <w:t xml:space="preserve">Всi вiдсотковi та iншi витрати, пов'язанi з отриманням позик та iнших видiв фiнансування, вiдносяться на витрати перiоду, в якому вони виникають у складi фiнансових витрат, за винятком витрат на позики, якi безпосередньо стосуються придбання, будiвництва або виробництва квалiфiкованого активу. Вiдсотковi витрати визнаються iз застосуванням методу ефективної ставки вiдсотка. </w:t>
      </w:r>
      <w:r>
        <w:rPr>
          <w:rFonts w:eastAsia="Times New Roman"/>
          <w:color w:val="000000"/>
        </w:rPr>
        <w:br/>
        <w:t xml:space="preserve">4.11. Операцiї з пов’язаними сторонами </w:t>
      </w:r>
      <w:r>
        <w:rPr>
          <w:rFonts w:eastAsia="Times New Roman"/>
          <w:color w:val="000000"/>
        </w:rPr>
        <w:br/>
        <w:t xml:space="preserve">Сторони вважаються пов'язаними, якщо одна сторона має можливiсть контролювати iншу або здiйснювати суттєвий вплив на прийняття фiнансових та операцiйних рiшень iншою стороною. Таке визначення пов'язаної сторони може вiдрiзнятися вiд визначення згiдно законодавства України. </w:t>
      </w:r>
      <w:r>
        <w:rPr>
          <w:rFonts w:eastAsia="Times New Roman"/>
          <w:color w:val="000000"/>
        </w:rPr>
        <w:br/>
        <w:t xml:space="preserve">Згiдно з МСБО 24 "Розкриття iнформацiї щодо пов’язаних сторiн", до пов’язаних сторiн вiдносять: </w:t>
      </w:r>
      <w:r>
        <w:rPr>
          <w:rFonts w:eastAsia="Times New Roman"/>
          <w:color w:val="000000"/>
        </w:rPr>
        <w:br/>
        <w:t xml:space="preserve">(а) пiдприємства, якi прямо або непрямо через одного чи бiльше посередникiв контролюють або перебувають пiд контролем, або ж перебувають пiд спiльним контролем разом з пiдприємством, яке звiтує (сюди входять холдинговi компанiї, дочiрнi пiдприємства або спорiдненi дочiрнi пiдприємства); </w:t>
      </w:r>
      <w:r>
        <w:rPr>
          <w:rFonts w:eastAsia="Times New Roman"/>
          <w:color w:val="000000"/>
        </w:rPr>
        <w:br/>
        <w:t xml:space="preserve">(б) асоцiйованi компанiї; </w:t>
      </w:r>
      <w:r>
        <w:rPr>
          <w:rFonts w:eastAsia="Times New Roman"/>
          <w:color w:val="000000"/>
        </w:rPr>
        <w:br/>
        <w:t>(в) фiзичнi особи, якi прямо або непрямо володiють суттєвим вiдсотком голосiв у пiдприємствi, що звiтує, i в результатi мають суттєвий вплив на це пiдприємство, а також близькi члени родини кожної такої фiзичної особи;</w:t>
      </w:r>
      <w:r>
        <w:rPr>
          <w:rFonts w:eastAsia="Times New Roman"/>
          <w:color w:val="000000"/>
        </w:rPr>
        <w:br/>
        <w:t xml:space="preserve">Пiд час розгляду кожного можливого випадку вiдносин зв’язаних сторiн увага має бути спрямована на суть цих вiдносин, а не юридичну форму. </w:t>
      </w:r>
      <w:r>
        <w:rPr>
          <w:rFonts w:eastAsia="Times New Roman"/>
          <w:color w:val="000000"/>
        </w:rPr>
        <w:br/>
        <w:t xml:space="preserve">4.12. Подiї пiсля дати балансу </w:t>
      </w:r>
      <w:r>
        <w:rPr>
          <w:rFonts w:eastAsia="Times New Roman"/>
          <w:color w:val="000000"/>
        </w:rPr>
        <w:br/>
        <w:t>Подiї, що вiдбулися пiсля дати звiту про фiнансовий стан i до дати затвердження фiнансових звiтiв до випуску, якi надають додаткову iнформацiю щодо фiнансової звiтностi Компанiї, вiдображаються у фiнансовiй звiтностi. Подiї, що вiдбулися пiсля дати звiту про фiнансовий стан i якi не впливають на фiнансову звiтнiсть Компанiї на цю дату, розкриваються у примiтках до фiнансової звiтностi, якщо такi подiї суттєвi.</w:t>
      </w:r>
      <w:r>
        <w:rPr>
          <w:rFonts w:eastAsia="Times New Roman"/>
          <w:color w:val="000000"/>
        </w:rPr>
        <w:br/>
        <w:t>5. Стандарти виданi, якi ще не набули чинностi</w:t>
      </w:r>
      <w:r>
        <w:rPr>
          <w:rFonts w:eastAsia="Times New Roman"/>
          <w:color w:val="000000"/>
        </w:rPr>
        <w:br/>
        <w:t>МСБО (IАS) 1 «Подання фiнансової звiтностi» щодо професiйного судження при прийняттi рiшень про вiдображення iнформацiї у фiнансовiй звiтностi. Щодо застосування фактора суттєвостi та професiйного судження. Ефективна дата застосування 01.01.2016 р. Застосовується.</w:t>
      </w:r>
      <w:r>
        <w:rPr>
          <w:rFonts w:eastAsia="Times New Roman"/>
          <w:color w:val="000000"/>
        </w:rPr>
        <w:br/>
        <w:t>МСБО (IАS) 16 «Основнi засоби» щодо амортизацiї (п.62А). Щодо заборони застосування методу амортизацiї на основi виручки. Ефективна дата застосування 01.01.2016 р. Застосовується.</w:t>
      </w:r>
      <w:r>
        <w:rPr>
          <w:rFonts w:eastAsia="Times New Roman"/>
          <w:color w:val="000000"/>
        </w:rPr>
        <w:br/>
        <w:t>МСБО (IАS) 16 «Основнi засоби» щодо строку корисного використання (п.56с) . Щодо очiкування майбутнього зменшення цiни продажу продукцiї, виробленої з використанням активу. Ефективна дата застосування 01.01.2016 р. Застосовується.</w:t>
      </w:r>
      <w:r>
        <w:rPr>
          <w:rFonts w:eastAsia="Times New Roman"/>
          <w:color w:val="000000"/>
        </w:rPr>
        <w:br/>
        <w:t>МСБО (IАS) 34 «Промiжна фiнансова звiтнiсть» щодо розкриття iнформацiї в iнших компонентах промiжної фiнансової звiтностi (п.16а) Щодо доступностi iнформацiї користувачам. Ефективна дата застосування 01.01.2016 р. Застосовується.</w:t>
      </w:r>
      <w:r>
        <w:rPr>
          <w:rFonts w:eastAsia="Times New Roman"/>
          <w:color w:val="000000"/>
        </w:rPr>
        <w:br/>
      </w:r>
      <w:r>
        <w:rPr>
          <w:rFonts w:eastAsia="Times New Roman"/>
          <w:color w:val="000000"/>
        </w:rPr>
        <w:lastRenderedPageBreak/>
        <w:t>МСБО (IАS) 38 «Нематерiальнi активи» щодо амортизацiї (п. 98А, 98В, 98С) . Щодо заборони методу амторизацiї на основi виручки. Ефективна дата застосування 01.01.2016 р. Застосовується.</w:t>
      </w:r>
      <w:r>
        <w:rPr>
          <w:rFonts w:eastAsia="Times New Roman"/>
          <w:color w:val="000000"/>
        </w:rPr>
        <w:br/>
        <w:t>МСБО (IАS) 38 «Нематерiальнi активи» (п. 92). Щодо строку корисного використання . Ефективна дата застосування 01.01.2016 р. Застосовується.</w:t>
      </w:r>
      <w:r>
        <w:rPr>
          <w:rFonts w:eastAsia="Times New Roman"/>
          <w:color w:val="000000"/>
        </w:rPr>
        <w:br/>
        <w:t>МСФЗ (IFRS) 7 "Фiнансовi iнструменти: розкриття iнформацiї"(п.30 а). Щодо контрактiв на обслуговування фiнансових активiв. Ефективна дата застосування 01.01.2016 р. Застосовується.</w:t>
      </w:r>
      <w:r>
        <w:rPr>
          <w:rFonts w:eastAsia="Times New Roman"/>
          <w:color w:val="000000"/>
        </w:rPr>
        <w:br/>
        <w:t>МСФЗ ( IFRS) 7 "Фiнансовi iнструменти: розкриття iнформацiї" (п. 44г). Щодо розкриття iнформацiї в скороченiй промiжнiй фiнансовiй звiтностi. Ефективна дата застосування 01.01.2016 р. Застосовується.</w:t>
      </w:r>
      <w:r>
        <w:rPr>
          <w:rFonts w:eastAsia="Times New Roman"/>
          <w:color w:val="000000"/>
        </w:rPr>
        <w:br/>
        <w:t>МСБО (IАS) 28 «Iнвестицiї в асоцiйованi та спiльнi пiдприємства» щодо застосування методу участi в капiталi неiнвестицiйною компанiєю iнвестора до iнвестицiйної компанiї емiтента Щодо розкриття iнформацiї в скороченiй промiжнiй фiнансовiй звiтностi. Ефективна дата застосування 01.01.2016 р. Застосовується.</w:t>
      </w:r>
      <w:r>
        <w:rPr>
          <w:rFonts w:eastAsia="Times New Roman"/>
          <w:color w:val="000000"/>
        </w:rPr>
        <w:br/>
        <w:t>МСФЗ (IFRS) 12 «Розкриття iнформацiї про участь в iнших пiдприємствах» щодо вимог до розкриття iнформацiї. Ефективна дата застосування 01.01.2016 р. Не застосовується.</w:t>
      </w:r>
      <w:r>
        <w:rPr>
          <w:rFonts w:eastAsia="Times New Roman"/>
          <w:color w:val="000000"/>
        </w:rPr>
        <w:br/>
        <w:t>МСФЗ(IFRS) 11 «Спiльна дiяльнiсть» щодо облiку придбання частки участi у спiльнiй дiяльностi, коли така дiяльнiсть є окремим бiзнесом Ефективна дата застосування 01.01.2016 р. Не застосовується.</w:t>
      </w:r>
      <w:r>
        <w:rPr>
          <w:rFonts w:eastAsia="Times New Roman"/>
          <w:color w:val="000000"/>
        </w:rPr>
        <w:br/>
        <w:t>6. Пов’язанi сторони</w:t>
      </w:r>
      <w:r>
        <w:rPr>
          <w:rFonts w:eastAsia="Times New Roman"/>
          <w:color w:val="000000"/>
        </w:rPr>
        <w:br/>
        <w:t xml:space="preserve">Пов’язанi особи ПАТ «ГРОНО-ТЕКС» - Фiрма «ОЗЕКС», Словаччина. Товариство продає, купує основнi засоби, товарно-матерiальнi цiнностi. </w:t>
      </w:r>
      <w:r>
        <w:rPr>
          <w:rFonts w:eastAsia="Times New Roman"/>
          <w:color w:val="000000"/>
        </w:rPr>
        <w:br/>
        <w:t>Концентрацiя балансiв з пов'язаними сторонами станом на 31 грудня 2014 року:</w:t>
      </w:r>
      <w:r>
        <w:rPr>
          <w:rFonts w:eastAsia="Times New Roman"/>
          <w:color w:val="000000"/>
        </w:rPr>
        <w:br/>
        <w:t>Показники балансу Код рядка Баланси з пов'язаними сторонами Всього по статтi</w:t>
      </w:r>
      <w:r>
        <w:rPr>
          <w:rFonts w:eastAsia="Times New Roman"/>
          <w:color w:val="000000"/>
        </w:rPr>
        <w:br/>
        <w:t>Дебiторська заборгованiсть за товари, роботи, послуги 1125 934 1337</w:t>
      </w:r>
      <w:r>
        <w:rPr>
          <w:rFonts w:eastAsia="Times New Roman"/>
          <w:color w:val="000000"/>
        </w:rPr>
        <w:br/>
        <w:t>Iншi довгостроковi зобов’язання 1515 - -</w:t>
      </w:r>
      <w:r>
        <w:rPr>
          <w:rFonts w:eastAsia="Times New Roman"/>
          <w:color w:val="000000"/>
        </w:rPr>
        <w:br/>
        <w:t>Поточна кредиторська заборгованiсть за товари, роботи, послуги 1615 8405 8620</w:t>
      </w:r>
      <w:r>
        <w:rPr>
          <w:rFonts w:eastAsia="Times New Roman"/>
          <w:color w:val="000000"/>
        </w:rPr>
        <w:br/>
        <w:t>Поточна кредиторська заборгованiсть за одержаними авансами 1635 - -</w:t>
      </w:r>
      <w:r>
        <w:rPr>
          <w:rFonts w:eastAsia="Times New Roman"/>
          <w:color w:val="000000"/>
        </w:rPr>
        <w:br/>
        <w:t>Iншi поточнi зобовязання 1690 - 16</w:t>
      </w:r>
      <w:r>
        <w:rPr>
          <w:rFonts w:eastAsia="Times New Roman"/>
          <w:color w:val="000000"/>
        </w:rPr>
        <w:br/>
        <w:t>Концентрацiя операцiй з пов'язаними сторонами за 2014 рiк</w:t>
      </w:r>
      <w:r>
        <w:rPr>
          <w:rFonts w:eastAsia="Times New Roman"/>
          <w:color w:val="000000"/>
        </w:rPr>
        <w:br/>
        <w:t>Показники звiту про прибутки i збитки Код рядка Операцiї з пов'язаними сторонами Всього по статтi</w:t>
      </w:r>
      <w:r>
        <w:rPr>
          <w:rFonts w:eastAsia="Times New Roman"/>
          <w:color w:val="000000"/>
        </w:rPr>
        <w:br/>
        <w:t>Виручка 2000 20544 40208</w:t>
      </w:r>
      <w:r>
        <w:rPr>
          <w:rFonts w:eastAsia="Times New Roman"/>
          <w:color w:val="000000"/>
        </w:rPr>
        <w:br/>
        <w:t>Iншi операцiйнi доходи 2120 640 1795</w:t>
      </w:r>
      <w:r>
        <w:rPr>
          <w:rFonts w:eastAsia="Times New Roman"/>
          <w:color w:val="000000"/>
        </w:rPr>
        <w:br/>
        <w:t>Адмiнiстративнi витрати 2130 (1229) (2405)</w:t>
      </w:r>
      <w:r>
        <w:rPr>
          <w:rFonts w:eastAsia="Times New Roman"/>
          <w:color w:val="000000"/>
        </w:rPr>
        <w:br/>
        <w:t>Витрати на збут 2150 (122) (239)</w:t>
      </w:r>
      <w:r>
        <w:rPr>
          <w:rFonts w:eastAsia="Times New Roman"/>
          <w:color w:val="000000"/>
        </w:rPr>
        <w:br/>
        <w:t>Iншi операцiйнi витрати 2180 (1609) (5794)</w:t>
      </w:r>
      <w:r>
        <w:rPr>
          <w:rFonts w:eastAsia="Times New Roman"/>
          <w:color w:val="000000"/>
        </w:rPr>
        <w:br/>
        <w:t>Фiнансовi витрати 2250 (-) (28)</w:t>
      </w:r>
      <w:r>
        <w:rPr>
          <w:rFonts w:eastAsia="Times New Roman"/>
          <w:color w:val="000000"/>
        </w:rPr>
        <w:br/>
        <w:t>Iншi витрати 2270 - -</w:t>
      </w:r>
      <w:r>
        <w:rPr>
          <w:rFonts w:eastAsia="Times New Roman"/>
          <w:color w:val="000000"/>
        </w:rPr>
        <w:br/>
        <w:t>7. Виручка вiд реалiзацiї</w:t>
      </w:r>
      <w:r>
        <w:rPr>
          <w:rFonts w:eastAsia="Times New Roman"/>
          <w:color w:val="000000"/>
        </w:rPr>
        <w:br/>
        <w:t>Виручка вiд реалiзацiї була представлена наступним чином:</w:t>
      </w:r>
      <w:r>
        <w:rPr>
          <w:rFonts w:eastAsia="Times New Roman"/>
          <w:color w:val="000000"/>
        </w:rPr>
        <w:br/>
        <w:t>2014 рiк 2013 рiк</w:t>
      </w:r>
      <w:r>
        <w:rPr>
          <w:rFonts w:eastAsia="Times New Roman"/>
          <w:color w:val="000000"/>
        </w:rPr>
        <w:br/>
        <w:t>Виручка вiд реалiзацiї послуг 40152 25857</w:t>
      </w:r>
      <w:r>
        <w:rPr>
          <w:rFonts w:eastAsia="Times New Roman"/>
          <w:color w:val="000000"/>
        </w:rPr>
        <w:br/>
        <w:t>Виручка вiд реалiзацiї товарiв 56 41</w:t>
      </w:r>
      <w:r>
        <w:rPr>
          <w:rFonts w:eastAsia="Times New Roman"/>
          <w:color w:val="000000"/>
        </w:rPr>
        <w:br/>
        <w:t>Виручка вiд реалiзацiї готової продукцiї - -</w:t>
      </w:r>
      <w:r>
        <w:rPr>
          <w:rFonts w:eastAsia="Times New Roman"/>
          <w:color w:val="000000"/>
        </w:rPr>
        <w:br/>
        <w:t>Всього 40208 25898</w:t>
      </w:r>
      <w:r>
        <w:rPr>
          <w:rFonts w:eastAsia="Times New Roman"/>
          <w:color w:val="000000"/>
        </w:rPr>
        <w:br/>
        <w:t>8. Собiвартiсть реалiзацiї</w:t>
      </w:r>
      <w:r>
        <w:rPr>
          <w:rFonts w:eastAsia="Times New Roman"/>
          <w:color w:val="000000"/>
        </w:rPr>
        <w:br/>
        <w:t>Собiвартiсть вiд реалiзацiї була представлена наступним чином:</w:t>
      </w:r>
      <w:r>
        <w:rPr>
          <w:rFonts w:eastAsia="Times New Roman"/>
          <w:color w:val="000000"/>
        </w:rPr>
        <w:br/>
        <w:t>2014 рiк 2013 рiк</w:t>
      </w:r>
      <w:r>
        <w:rPr>
          <w:rFonts w:eastAsia="Times New Roman"/>
          <w:color w:val="000000"/>
        </w:rPr>
        <w:br/>
        <w:t>Собiвартiсть реалiзованих послуг (32395) (23499)</w:t>
      </w:r>
      <w:r>
        <w:rPr>
          <w:rFonts w:eastAsia="Times New Roman"/>
          <w:color w:val="000000"/>
        </w:rPr>
        <w:br/>
        <w:t>Собiвартiсть товарiв (71) (54)</w:t>
      </w:r>
      <w:r>
        <w:rPr>
          <w:rFonts w:eastAsia="Times New Roman"/>
          <w:color w:val="000000"/>
        </w:rPr>
        <w:br/>
      </w:r>
      <w:r>
        <w:rPr>
          <w:rFonts w:eastAsia="Times New Roman"/>
          <w:color w:val="000000"/>
        </w:rPr>
        <w:lastRenderedPageBreak/>
        <w:t>Собiвартiсть готової продукцiї - -</w:t>
      </w:r>
      <w:r>
        <w:rPr>
          <w:rFonts w:eastAsia="Times New Roman"/>
          <w:color w:val="000000"/>
        </w:rPr>
        <w:br/>
        <w:t>Всього (32466) (23553)</w:t>
      </w:r>
      <w:r>
        <w:rPr>
          <w:rFonts w:eastAsia="Times New Roman"/>
          <w:color w:val="000000"/>
        </w:rPr>
        <w:br/>
        <w:t>Собiвартiсть реалiзацiї за видами витрат була представлена наступним чином:</w:t>
      </w:r>
      <w:r>
        <w:rPr>
          <w:rFonts w:eastAsia="Times New Roman"/>
          <w:color w:val="000000"/>
        </w:rPr>
        <w:br/>
        <w:t>2014 рiк 2013 рiк</w:t>
      </w:r>
      <w:r>
        <w:rPr>
          <w:rFonts w:eastAsia="Times New Roman"/>
          <w:color w:val="000000"/>
        </w:rPr>
        <w:br/>
        <w:t>Собiвартiсть матерiалiв та напiвфабрикатiв (1329) (918)</w:t>
      </w:r>
      <w:r>
        <w:rPr>
          <w:rFonts w:eastAsia="Times New Roman"/>
          <w:color w:val="000000"/>
        </w:rPr>
        <w:br/>
        <w:t>Заробiтна плата та вiдповiднi нарахування (25397) (17582)</w:t>
      </w:r>
      <w:r>
        <w:rPr>
          <w:rFonts w:eastAsia="Times New Roman"/>
          <w:color w:val="000000"/>
        </w:rPr>
        <w:br/>
        <w:t>Амортизацiя (1058) (993)</w:t>
      </w:r>
      <w:r>
        <w:rPr>
          <w:rFonts w:eastAsia="Times New Roman"/>
          <w:color w:val="000000"/>
        </w:rPr>
        <w:br/>
        <w:t>Послуги для технологiчних потреб (опалення, освiтлення, водопостачання, iнше) (2834) (2525)</w:t>
      </w:r>
      <w:r>
        <w:rPr>
          <w:rFonts w:eastAsia="Times New Roman"/>
          <w:color w:val="000000"/>
        </w:rPr>
        <w:br/>
        <w:t>Iншi витрати (1848) (1535)</w:t>
      </w:r>
      <w:r>
        <w:rPr>
          <w:rFonts w:eastAsia="Times New Roman"/>
          <w:color w:val="000000"/>
        </w:rPr>
        <w:br/>
        <w:t>Всього (32466) (23553)</w:t>
      </w:r>
      <w:r>
        <w:rPr>
          <w:rFonts w:eastAsia="Times New Roman"/>
          <w:color w:val="000000"/>
        </w:rPr>
        <w:br/>
        <w:t>9. Адмiнiстративнi витрати</w:t>
      </w:r>
      <w:r>
        <w:rPr>
          <w:rFonts w:eastAsia="Times New Roman"/>
          <w:color w:val="000000"/>
        </w:rPr>
        <w:br/>
        <w:t>Адмiнiстративнi витрати були представленi наступним чином:</w:t>
      </w:r>
      <w:r>
        <w:rPr>
          <w:rFonts w:eastAsia="Times New Roman"/>
          <w:color w:val="000000"/>
        </w:rPr>
        <w:br/>
        <w:t>2014 рiк 2013 рiк</w:t>
      </w:r>
      <w:r>
        <w:rPr>
          <w:rFonts w:eastAsia="Times New Roman"/>
          <w:color w:val="000000"/>
        </w:rPr>
        <w:br/>
        <w:t>Заробiтна плата та вiдповiднi нарахування (1791) (1274)</w:t>
      </w:r>
      <w:r>
        <w:rPr>
          <w:rFonts w:eastAsia="Times New Roman"/>
          <w:color w:val="000000"/>
        </w:rPr>
        <w:br/>
        <w:t>Амортизацiя (65) (58)</w:t>
      </w:r>
      <w:r>
        <w:rPr>
          <w:rFonts w:eastAsia="Times New Roman"/>
          <w:color w:val="000000"/>
        </w:rPr>
        <w:br/>
        <w:t>Податки (179) (67)</w:t>
      </w:r>
      <w:r>
        <w:rPr>
          <w:rFonts w:eastAsia="Times New Roman"/>
          <w:color w:val="000000"/>
        </w:rPr>
        <w:br/>
        <w:t>Професiйнi послуги - -</w:t>
      </w:r>
      <w:r>
        <w:rPr>
          <w:rFonts w:eastAsia="Times New Roman"/>
          <w:color w:val="000000"/>
        </w:rPr>
        <w:br/>
        <w:t>Послуги зв'язку (68) (65)</w:t>
      </w:r>
      <w:r>
        <w:rPr>
          <w:rFonts w:eastAsia="Times New Roman"/>
          <w:color w:val="000000"/>
        </w:rPr>
        <w:br/>
        <w:t>Матерiальнi витрати (89) (76)</w:t>
      </w:r>
      <w:r>
        <w:rPr>
          <w:rFonts w:eastAsia="Times New Roman"/>
          <w:color w:val="000000"/>
        </w:rPr>
        <w:br/>
        <w:t>Страхування майна (47) (35)</w:t>
      </w:r>
      <w:r>
        <w:rPr>
          <w:rFonts w:eastAsia="Times New Roman"/>
          <w:color w:val="000000"/>
        </w:rPr>
        <w:br/>
        <w:t>Послуги банку (57) (70)</w:t>
      </w:r>
      <w:r>
        <w:rPr>
          <w:rFonts w:eastAsia="Times New Roman"/>
          <w:color w:val="000000"/>
        </w:rPr>
        <w:br/>
        <w:t>Юридичнi послуги, iнформацiйно-консультацiйнi ,аудиторськi (21) (28)</w:t>
      </w:r>
      <w:r>
        <w:rPr>
          <w:rFonts w:eastAsia="Times New Roman"/>
          <w:color w:val="000000"/>
        </w:rPr>
        <w:br/>
        <w:t>Витрати на вiдрядження (48) (22)</w:t>
      </w:r>
      <w:r>
        <w:rPr>
          <w:rFonts w:eastAsia="Times New Roman"/>
          <w:color w:val="000000"/>
        </w:rPr>
        <w:br/>
        <w:t>Iншi (40) (30)</w:t>
      </w:r>
      <w:r>
        <w:rPr>
          <w:rFonts w:eastAsia="Times New Roman"/>
          <w:color w:val="000000"/>
        </w:rPr>
        <w:br/>
        <w:t>Всього (2405) (1725)</w:t>
      </w:r>
      <w:r>
        <w:rPr>
          <w:rFonts w:eastAsia="Times New Roman"/>
          <w:color w:val="000000"/>
        </w:rPr>
        <w:br/>
        <w:t>10. Витрати на збут</w:t>
      </w:r>
      <w:r>
        <w:rPr>
          <w:rFonts w:eastAsia="Times New Roman"/>
          <w:color w:val="000000"/>
        </w:rPr>
        <w:br/>
        <w:t>Витрати на збут були представленi наступним чином:</w:t>
      </w:r>
      <w:r>
        <w:rPr>
          <w:rFonts w:eastAsia="Times New Roman"/>
          <w:color w:val="000000"/>
        </w:rPr>
        <w:br/>
        <w:t>2014 рiк 2013 рiк</w:t>
      </w:r>
      <w:r>
        <w:rPr>
          <w:rFonts w:eastAsia="Times New Roman"/>
          <w:color w:val="000000"/>
        </w:rPr>
        <w:br/>
        <w:t>Заробiтна плата та вiдповiднi нарахування - -</w:t>
      </w:r>
      <w:r>
        <w:rPr>
          <w:rFonts w:eastAsia="Times New Roman"/>
          <w:color w:val="000000"/>
        </w:rPr>
        <w:br/>
        <w:t>Витрати тари та тарних матерiалiв - -</w:t>
      </w:r>
      <w:r>
        <w:rPr>
          <w:rFonts w:eastAsia="Times New Roman"/>
          <w:color w:val="000000"/>
        </w:rPr>
        <w:br/>
        <w:t>Транспортнi витрати (56) (1)</w:t>
      </w:r>
      <w:r>
        <w:rPr>
          <w:rFonts w:eastAsia="Times New Roman"/>
          <w:color w:val="000000"/>
        </w:rPr>
        <w:br/>
        <w:t>Амортизацiя - -</w:t>
      </w:r>
      <w:r>
        <w:rPr>
          <w:rFonts w:eastAsia="Times New Roman"/>
          <w:color w:val="000000"/>
        </w:rPr>
        <w:br/>
        <w:t>Матерiальнi витрати (8) (5)</w:t>
      </w:r>
      <w:r>
        <w:rPr>
          <w:rFonts w:eastAsia="Times New Roman"/>
          <w:color w:val="000000"/>
        </w:rPr>
        <w:br/>
        <w:t>Iнспекцiя ваги i вологостi, сертифiкацiя,затрати на експертизу (94) (112)</w:t>
      </w:r>
      <w:r>
        <w:rPr>
          <w:rFonts w:eastAsia="Times New Roman"/>
          <w:color w:val="000000"/>
        </w:rPr>
        <w:br/>
        <w:t>ПММ на збут (49) (28)</w:t>
      </w:r>
      <w:r>
        <w:rPr>
          <w:rFonts w:eastAsia="Times New Roman"/>
          <w:color w:val="000000"/>
        </w:rPr>
        <w:br/>
        <w:t>Митнi послуги (17) (59)</w:t>
      </w:r>
      <w:r>
        <w:rPr>
          <w:rFonts w:eastAsia="Times New Roman"/>
          <w:color w:val="000000"/>
        </w:rPr>
        <w:br/>
        <w:t>Iншi (15) (8)</w:t>
      </w:r>
      <w:r>
        <w:rPr>
          <w:rFonts w:eastAsia="Times New Roman"/>
          <w:color w:val="000000"/>
        </w:rPr>
        <w:br/>
        <w:t>Всього (239) (213)</w:t>
      </w:r>
      <w:r>
        <w:rPr>
          <w:rFonts w:eastAsia="Times New Roman"/>
          <w:color w:val="000000"/>
        </w:rPr>
        <w:br/>
        <w:t>11. Iншi операцiйнi доходи та витрати</w:t>
      </w:r>
      <w:r>
        <w:rPr>
          <w:rFonts w:eastAsia="Times New Roman"/>
          <w:color w:val="000000"/>
        </w:rPr>
        <w:br/>
        <w:t>Iншi операцiйнi доходи та витрати були представленi наступним чином:</w:t>
      </w:r>
      <w:r>
        <w:rPr>
          <w:rFonts w:eastAsia="Times New Roman"/>
          <w:color w:val="000000"/>
        </w:rPr>
        <w:br/>
        <w:t>2014 рiк</w:t>
      </w:r>
      <w:r>
        <w:rPr>
          <w:rFonts w:eastAsia="Times New Roman"/>
          <w:color w:val="000000"/>
        </w:rPr>
        <w:br/>
        <w:t>доходи витрати</w:t>
      </w:r>
      <w:r>
        <w:rPr>
          <w:rFonts w:eastAsia="Times New Roman"/>
          <w:color w:val="000000"/>
        </w:rPr>
        <w:br/>
        <w:t>Доходи (витрати) вiд купiвлi-продажу iноземної валюти 389 (124)</w:t>
      </w:r>
      <w:r>
        <w:rPr>
          <w:rFonts w:eastAsia="Times New Roman"/>
          <w:color w:val="000000"/>
        </w:rPr>
        <w:br/>
        <w:t>Доходи (витрати) вiд операцiйної оренди 93 -</w:t>
      </w:r>
      <w:r>
        <w:rPr>
          <w:rFonts w:eastAsia="Times New Roman"/>
          <w:color w:val="000000"/>
        </w:rPr>
        <w:br/>
        <w:t>Визнанi штрафи, пенi, неустойки - (5)</w:t>
      </w:r>
      <w:r>
        <w:rPr>
          <w:rFonts w:eastAsia="Times New Roman"/>
          <w:color w:val="000000"/>
        </w:rPr>
        <w:br/>
        <w:t>Доходи (витрати) вiд реалiзацiї iнших оборотних активiв 83 -</w:t>
      </w:r>
      <w:r>
        <w:rPr>
          <w:rFonts w:eastAsia="Times New Roman"/>
          <w:color w:val="000000"/>
        </w:rPr>
        <w:br/>
        <w:t>Доходи (витрати) вiд операцiйної курсової рiзницi 1224 (5158)</w:t>
      </w:r>
      <w:r>
        <w:rPr>
          <w:rFonts w:eastAsia="Times New Roman"/>
          <w:color w:val="000000"/>
        </w:rPr>
        <w:br/>
        <w:t>Доходи вiд вiдшкодування ранiше списаних активiв - -</w:t>
      </w:r>
      <w:r>
        <w:rPr>
          <w:rFonts w:eastAsia="Times New Roman"/>
          <w:color w:val="000000"/>
        </w:rPr>
        <w:br/>
        <w:t>Iншi доходи(витрати) 6 (428)</w:t>
      </w:r>
      <w:r>
        <w:rPr>
          <w:rFonts w:eastAsia="Times New Roman"/>
          <w:color w:val="000000"/>
        </w:rPr>
        <w:br/>
        <w:t>Утримання об’єктiв житлово-комунального i соцiально-культурного призначення - (79)</w:t>
      </w:r>
      <w:r>
        <w:rPr>
          <w:rFonts w:eastAsia="Times New Roman"/>
          <w:color w:val="000000"/>
        </w:rPr>
        <w:br/>
        <w:t>Всього 1795 (5794)</w:t>
      </w:r>
      <w:r>
        <w:rPr>
          <w:rFonts w:eastAsia="Times New Roman"/>
          <w:color w:val="000000"/>
        </w:rPr>
        <w:br/>
      </w:r>
      <w:r>
        <w:rPr>
          <w:rFonts w:eastAsia="Times New Roman"/>
          <w:color w:val="000000"/>
        </w:rPr>
        <w:lastRenderedPageBreak/>
        <w:t>12. Фiнансовi доходи та витрати</w:t>
      </w:r>
      <w:r>
        <w:rPr>
          <w:rFonts w:eastAsia="Times New Roman"/>
          <w:color w:val="000000"/>
        </w:rPr>
        <w:br/>
        <w:t>Фiнансовi доходи та витрати були представленi наступним чином:</w:t>
      </w:r>
      <w:r>
        <w:rPr>
          <w:rFonts w:eastAsia="Times New Roman"/>
          <w:color w:val="000000"/>
        </w:rPr>
        <w:br/>
        <w:t>2014 рiк</w:t>
      </w:r>
      <w:r>
        <w:rPr>
          <w:rFonts w:eastAsia="Times New Roman"/>
          <w:color w:val="000000"/>
        </w:rPr>
        <w:br/>
        <w:t>доходи витрати</w:t>
      </w:r>
      <w:r>
        <w:rPr>
          <w:rFonts w:eastAsia="Times New Roman"/>
          <w:color w:val="000000"/>
        </w:rPr>
        <w:br/>
        <w:t>Вiдсотки за кредит - (28)</w:t>
      </w:r>
      <w:r>
        <w:rPr>
          <w:rFonts w:eastAsia="Times New Roman"/>
          <w:color w:val="000000"/>
        </w:rPr>
        <w:br/>
        <w:t>Iншi фiнансовi доходи 1 -</w:t>
      </w:r>
      <w:r>
        <w:rPr>
          <w:rFonts w:eastAsia="Times New Roman"/>
          <w:color w:val="000000"/>
        </w:rPr>
        <w:br/>
        <w:t>Всього 1 (28)</w:t>
      </w:r>
      <w:r>
        <w:rPr>
          <w:rFonts w:eastAsia="Times New Roman"/>
          <w:color w:val="000000"/>
        </w:rPr>
        <w:br/>
        <w:t>13. Iншi доходи та витрати</w:t>
      </w:r>
      <w:r>
        <w:rPr>
          <w:rFonts w:eastAsia="Times New Roman"/>
          <w:color w:val="000000"/>
        </w:rPr>
        <w:br/>
        <w:t>Iншi доходи та витрати були представленi наступним чином:</w:t>
      </w:r>
      <w:r>
        <w:rPr>
          <w:rFonts w:eastAsia="Times New Roman"/>
          <w:color w:val="000000"/>
        </w:rPr>
        <w:br/>
        <w:t>2014 рiк</w:t>
      </w:r>
      <w:r>
        <w:rPr>
          <w:rFonts w:eastAsia="Times New Roman"/>
          <w:color w:val="000000"/>
        </w:rPr>
        <w:br/>
        <w:t>доходи витрати</w:t>
      </w:r>
      <w:r>
        <w:rPr>
          <w:rFonts w:eastAsia="Times New Roman"/>
          <w:color w:val="000000"/>
        </w:rPr>
        <w:br/>
        <w:t>Доходи (витрати) вiд не операцiйної курсової рiзницi - -</w:t>
      </w:r>
      <w:r>
        <w:rPr>
          <w:rFonts w:eastAsia="Times New Roman"/>
          <w:color w:val="000000"/>
        </w:rPr>
        <w:br/>
        <w:t>Доходи вiд безоплатно отриманих активiв - -</w:t>
      </w:r>
      <w:r>
        <w:rPr>
          <w:rFonts w:eastAsia="Times New Roman"/>
          <w:color w:val="000000"/>
        </w:rPr>
        <w:br/>
        <w:t>Iншi доходи (витрати) вiд звичайної дiяльностi - -</w:t>
      </w:r>
      <w:r>
        <w:rPr>
          <w:rFonts w:eastAsia="Times New Roman"/>
          <w:color w:val="000000"/>
        </w:rPr>
        <w:br/>
        <w:t>Всього - -</w:t>
      </w:r>
      <w:r>
        <w:rPr>
          <w:rFonts w:eastAsia="Times New Roman"/>
          <w:color w:val="000000"/>
        </w:rPr>
        <w:br/>
        <w:t>14. Податок на прибуток</w:t>
      </w:r>
      <w:r>
        <w:rPr>
          <w:rFonts w:eastAsia="Times New Roman"/>
          <w:color w:val="000000"/>
        </w:rPr>
        <w:br/>
        <w:t>Податковий Кодекс України був офiцiйно прийнятий в груднi 2010 року. Згiдно з Кодексом ставка податку на прибуток знижувалася з 25% в першому кварталi 2011 року до 18% у 2014 роцi. Сума податку на прибуток за пiдсумками 2014 року становить 193360,04 гривень.</w:t>
      </w:r>
      <w:r>
        <w:rPr>
          <w:rFonts w:eastAsia="Times New Roman"/>
          <w:color w:val="000000"/>
        </w:rPr>
        <w:br/>
      </w:r>
      <w:r>
        <w:rPr>
          <w:rFonts w:eastAsia="Times New Roman"/>
          <w:color w:val="000000"/>
        </w:rPr>
        <w:br/>
        <w:t>15. Основнi засоби</w:t>
      </w:r>
      <w:r>
        <w:rPr>
          <w:rFonts w:eastAsia="Times New Roman"/>
          <w:color w:val="000000"/>
        </w:rPr>
        <w:br/>
        <w:t>Станом на 31 грудня 2014 р. основнi засоби Товариства були представленi наступним чином:</w:t>
      </w:r>
      <w:r>
        <w:rPr>
          <w:rFonts w:eastAsia="Times New Roman"/>
          <w:color w:val="000000"/>
        </w:rPr>
        <w:br/>
        <w:t>Будинки, споруди та передава-льнi пристрої Машини та обладнання Транспортнi засоби Iнструменти, прилади, iнвентар Iншi основнi засоби Земельнi дiлянки Малоцiннi необоротнi</w:t>
      </w:r>
      <w:r>
        <w:rPr>
          <w:rFonts w:eastAsia="Times New Roman"/>
          <w:color w:val="000000"/>
        </w:rPr>
        <w:br/>
        <w:t>матерiальнi активи Незавершенi капiта-льнi iнвестицiї Всього</w:t>
      </w:r>
      <w:r>
        <w:rPr>
          <w:rFonts w:eastAsia="Times New Roman"/>
          <w:color w:val="000000"/>
        </w:rPr>
        <w:br/>
        <w:t>Первiсна вартiсть станом на поча-ток звiтного року 13343 17643 226 926 814 5 - - 32957</w:t>
      </w:r>
      <w:r>
        <w:rPr>
          <w:rFonts w:eastAsia="Times New Roman"/>
          <w:color w:val="000000"/>
        </w:rPr>
        <w:br/>
        <w:t>Придбано основних засобiв 609 1077 - 67 - - - - 1753</w:t>
      </w:r>
      <w:r>
        <w:rPr>
          <w:rFonts w:eastAsia="Times New Roman"/>
          <w:color w:val="000000"/>
        </w:rPr>
        <w:br/>
        <w:t>Вибуло 4 44 - 6 24 - - - 78</w:t>
      </w:r>
      <w:r>
        <w:rPr>
          <w:rFonts w:eastAsia="Times New Roman"/>
          <w:color w:val="000000"/>
        </w:rPr>
        <w:br/>
        <w:t>Первiсна вартiсть станом на кiнець звiтного перiоду 13948 18676 226 987 790 5 - - 34632</w:t>
      </w:r>
      <w:r>
        <w:rPr>
          <w:rFonts w:eastAsia="Times New Roman"/>
          <w:color w:val="000000"/>
        </w:rPr>
        <w:br/>
        <w:t>Накопичена амортизацiя станом на поча-ток звiтного року 14607</w:t>
      </w:r>
      <w:r>
        <w:rPr>
          <w:rFonts w:eastAsia="Times New Roman"/>
          <w:color w:val="000000"/>
        </w:rPr>
        <w:br/>
        <w:t>Амортизацiйнi нарахування за звiтний перiод 1144</w:t>
      </w:r>
      <w:r>
        <w:rPr>
          <w:rFonts w:eastAsia="Times New Roman"/>
          <w:color w:val="000000"/>
        </w:rPr>
        <w:br/>
        <w:t>Вибуло 59</w:t>
      </w:r>
      <w:r>
        <w:rPr>
          <w:rFonts w:eastAsia="Times New Roman"/>
          <w:color w:val="000000"/>
        </w:rPr>
        <w:br/>
        <w:t>Амортизацiя станом на кiнець звiтного перiоду 15692</w:t>
      </w:r>
      <w:r>
        <w:rPr>
          <w:rFonts w:eastAsia="Times New Roman"/>
          <w:color w:val="000000"/>
        </w:rPr>
        <w:br/>
        <w:t>Балансова вартiсть станом на кiнець звiтного перiоду 18940</w:t>
      </w:r>
      <w:r>
        <w:rPr>
          <w:rFonts w:eastAsia="Times New Roman"/>
          <w:color w:val="000000"/>
        </w:rPr>
        <w:br/>
        <w:t>16.Запаси</w:t>
      </w:r>
      <w:r>
        <w:rPr>
          <w:rFonts w:eastAsia="Times New Roman"/>
          <w:color w:val="000000"/>
        </w:rPr>
        <w:br/>
        <w:t>Запаси Товариства були представленi наступним чином:</w:t>
      </w:r>
      <w:r>
        <w:rPr>
          <w:rFonts w:eastAsia="Times New Roman"/>
          <w:color w:val="000000"/>
        </w:rPr>
        <w:br/>
        <w:t>31 грудня 2014 року 31 грудня 2013 року</w:t>
      </w:r>
      <w:r>
        <w:rPr>
          <w:rFonts w:eastAsia="Times New Roman"/>
          <w:color w:val="000000"/>
        </w:rPr>
        <w:br/>
        <w:t>Сировина i матерiали 212 226</w:t>
      </w:r>
      <w:r>
        <w:rPr>
          <w:rFonts w:eastAsia="Times New Roman"/>
          <w:color w:val="000000"/>
        </w:rPr>
        <w:br/>
        <w:t>Паливо 3 -</w:t>
      </w:r>
      <w:r>
        <w:rPr>
          <w:rFonts w:eastAsia="Times New Roman"/>
          <w:color w:val="000000"/>
        </w:rPr>
        <w:br/>
        <w:t>Тара i тарнi матерiали - -</w:t>
      </w:r>
      <w:r>
        <w:rPr>
          <w:rFonts w:eastAsia="Times New Roman"/>
          <w:color w:val="000000"/>
        </w:rPr>
        <w:br/>
        <w:t>Будiвельнi матерiали - -</w:t>
      </w:r>
      <w:r>
        <w:rPr>
          <w:rFonts w:eastAsia="Times New Roman"/>
          <w:color w:val="000000"/>
        </w:rPr>
        <w:br/>
        <w:t>Запаснi частини 398 315</w:t>
      </w:r>
      <w:r>
        <w:rPr>
          <w:rFonts w:eastAsia="Times New Roman"/>
          <w:color w:val="000000"/>
        </w:rPr>
        <w:br/>
        <w:t>Iншi матерiали - -</w:t>
      </w:r>
      <w:r>
        <w:rPr>
          <w:rFonts w:eastAsia="Times New Roman"/>
          <w:color w:val="000000"/>
        </w:rPr>
        <w:br/>
        <w:t>Малоцiннi та швидкозношуванi предмети 63 19</w:t>
      </w:r>
      <w:r>
        <w:rPr>
          <w:rFonts w:eastAsia="Times New Roman"/>
          <w:color w:val="000000"/>
        </w:rPr>
        <w:br/>
        <w:t>Незавершене виробництво 1005 580</w:t>
      </w:r>
      <w:r>
        <w:rPr>
          <w:rFonts w:eastAsia="Times New Roman"/>
          <w:color w:val="000000"/>
        </w:rPr>
        <w:br/>
        <w:t>Готова продукцiя - -</w:t>
      </w:r>
      <w:r>
        <w:rPr>
          <w:rFonts w:eastAsia="Times New Roman"/>
          <w:color w:val="000000"/>
        </w:rPr>
        <w:br/>
        <w:t>Товари - 13</w:t>
      </w:r>
      <w:r>
        <w:rPr>
          <w:rFonts w:eastAsia="Times New Roman"/>
          <w:color w:val="000000"/>
        </w:rPr>
        <w:br/>
        <w:t>Всього 1681 1153</w:t>
      </w:r>
      <w:r>
        <w:rPr>
          <w:rFonts w:eastAsia="Times New Roman"/>
          <w:color w:val="000000"/>
        </w:rPr>
        <w:br/>
        <w:t>17. Торгiвельна та iнша дебiторська заборгованiсть, нетто</w:t>
      </w:r>
      <w:r>
        <w:rPr>
          <w:rFonts w:eastAsia="Times New Roman"/>
          <w:color w:val="000000"/>
        </w:rPr>
        <w:br/>
      </w:r>
      <w:r>
        <w:rPr>
          <w:rFonts w:eastAsia="Times New Roman"/>
          <w:color w:val="000000"/>
        </w:rPr>
        <w:lastRenderedPageBreak/>
        <w:t>Станом на 31 грудня 2014 року торговельна i iнша дебiторська заборгованiсть були представленi таким чином:</w:t>
      </w:r>
      <w:r>
        <w:rPr>
          <w:rFonts w:eastAsia="Times New Roman"/>
          <w:color w:val="000000"/>
        </w:rPr>
        <w:br/>
        <w:t>31 грудня 2014 року 31 грудня 2013 року</w:t>
      </w:r>
      <w:r>
        <w:rPr>
          <w:rFonts w:eastAsia="Times New Roman"/>
          <w:color w:val="000000"/>
        </w:rPr>
        <w:br/>
        <w:t>Дебiторська заборгованiсть за продукцiю 1337 768</w:t>
      </w:r>
      <w:r>
        <w:rPr>
          <w:rFonts w:eastAsia="Times New Roman"/>
          <w:color w:val="000000"/>
        </w:rPr>
        <w:br/>
        <w:t>Iнша дебiторська заборгованiсть 680 260</w:t>
      </w:r>
      <w:r>
        <w:rPr>
          <w:rFonts w:eastAsia="Times New Roman"/>
          <w:color w:val="000000"/>
        </w:rPr>
        <w:br/>
        <w:t>Всього 2017 1028</w:t>
      </w:r>
      <w:r>
        <w:rPr>
          <w:rFonts w:eastAsia="Times New Roman"/>
          <w:color w:val="000000"/>
        </w:rPr>
        <w:br/>
        <w:t>18. Передплати та iншi оборотнi активи, нетто</w:t>
      </w:r>
      <w:r>
        <w:rPr>
          <w:rFonts w:eastAsia="Times New Roman"/>
          <w:color w:val="000000"/>
        </w:rPr>
        <w:br/>
        <w:t>Станом на 31 грудня 2014 року передплати та iншi оборотнi активи були представленi таким чином:</w:t>
      </w:r>
      <w:r>
        <w:rPr>
          <w:rFonts w:eastAsia="Times New Roman"/>
          <w:color w:val="000000"/>
        </w:rPr>
        <w:br/>
        <w:t>31 грудня 2014 року 31 грудня 2013 року</w:t>
      </w:r>
      <w:r>
        <w:rPr>
          <w:rFonts w:eastAsia="Times New Roman"/>
          <w:color w:val="000000"/>
        </w:rPr>
        <w:br/>
        <w:t>Аванси постачальникам - -</w:t>
      </w:r>
      <w:r>
        <w:rPr>
          <w:rFonts w:eastAsia="Times New Roman"/>
          <w:color w:val="000000"/>
        </w:rPr>
        <w:br/>
        <w:t>Iншi оборотнi активи - -</w:t>
      </w:r>
      <w:r>
        <w:rPr>
          <w:rFonts w:eastAsia="Times New Roman"/>
          <w:color w:val="000000"/>
        </w:rPr>
        <w:br/>
        <w:t>Всього - -</w:t>
      </w:r>
      <w:r>
        <w:rPr>
          <w:rFonts w:eastAsia="Times New Roman"/>
          <w:color w:val="000000"/>
        </w:rPr>
        <w:br/>
        <w:t>Передплати, зробленi третiм сторонам, переважно являють собою передплати, зробленi за матерiали та енергоносiї.</w:t>
      </w:r>
      <w:r>
        <w:rPr>
          <w:rFonts w:eastAsia="Times New Roman"/>
          <w:color w:val="000000"/>
        </w:rPr>
        <w:br/>
        <w:t>19. Поточнi податковi активи та зобов’язання</w:t>
      </w:r>
      <w:r>
        <w:rPr>
          <w:rFonts w:eastAsia="Times New Roman"/>
          <w:color w:val="000000"/>
        </w:rPr>
        <w:br/>
        <w:t>Поточнi податковi активи та зобов'язання Товариства були представленi наступним чином:</w:t>
      </w:r>
      <w:r>
        <w:rPr>
          <w:rFonts w:eastAsia="Times New Roman"/>
          <w:color w:val="000000"/>
        </w:rPr>
        <w:br/>
        <w:t>31 грудня 2014 року 31 грудня 2013 року</w:t>
      </w:r>
      <w:r>
        <w:rPr>
          <w:rFonts w:eastAsia="Times New Roman"/>
          <w:color w:val="000000"/>
        </w:rPr>
        <w:br/>
        <w:t>Поточнi податковi активи, в т. ч.: 576 300</w:t>
      </w:r>
      <w:r>
        <w:rPr>
          <w:rFonts w:eastAsia="Times New Roman"/>
          <w:color w:val="000000"/>
        </w:rPr>
        <w:br/>
        <w:t>Податок на додану вартiсть 574 297</w:t>
      </w:r>
      <w:r>
        <w:rPr>
          <w:rFonts w:eastAsia="Times New Roman"/>
          <w:color w:val="000000"/>
        </w:rPr>
        <w:br/>
        <w:t>Мiсцевi податки та збори 2 3</w:t>
      </w:r>
      <w:r>
        <w:rPr>
          <w:rFonts w:eastAsia="Times New Roman"/>
          <w:color w:val="000000"/>
        </w:rPr>
        <w:br/>
        <w:t>Поточнi податковi зобов'язання , в т. ч. 251 121</w:t>
      </w:r>
      <w:r>
        <w:rPr>
          <w:rFonts w:eastAsia="Times New Roman"/>
          <w:color w:val="000000"/>
        </w:rPr>
        <w:br/>
        <w:t>Податок на прибуток 67 45</w:t>
      </w:r>
      <w:r>
        <w:rPr>
          <w:rFonts w:eastAsia="Times New Roman"/>
          <w:color w:val="000000"/>
        </w:rPr>
        <w:br/>
        <w:t>Податок з доходiв фiзичних осiб 157 70</w:t>
      </w:r>
      <w:r>
        <w:rPr>
          <w:rFonts w:eastAsia="Times New Roman"/>
          <w:color w:val="000000"/>
        </w:rPr>
        <w:br/>
        <w:t>Ресурснi платежi та iнше 27 6</w:t>
      </w:r>
      <w:r>
        <w:rPr>
          <w:rFonts w:eastAsia="Times New Roman"/>
          <w:color w:val="000000"/>
        </w:rPr>
        <w:br/>
        <w:t>20. Грошовi кошти та короткостроковi депозити</w:t>
      </w:r>
      <w:r>
        <w:rPr>
          <w:rFonts w:eastAsia="Times New Roman"/>
          <w:color w:val="000000"/>
        </w:rPr>
        <w:br/>
        <w:t>Станом на 31 грудня 2014 року грошовi кошти були представленi наступним чином:</w:t>
      </w:r>
      <w:r>
        <w:rPr>
          <w:rFonts w:eastAsia="Times New Roman"/>
          <w:color w:val="000000"/>
        </w:rPr>
        <w:br/>
        <w:t>31 грудня 2014 року 31 грудня 2013 року</w:t>
      </w:r>
      <w:r>
        <w:rPr>
          <w:rFonts w:eastAsia="Times New Roman"/>
          <w:color w:val="000000"/>
        </w:rPr>
        <w:br/>
        <w:t>Грошовi кошти в нацiональнiй валютi на поточних рахунках 1 58</w:t>
      </w:r>
      <w:r>
        <w:rPr>
          <w:rFonts w:eastAsia="Times New Roman"/>
          <w:color w:val="000000"/>
        </w:rPr>
        <w:br/>
        <w:t>Грошовi кошти в нацiональнiй валютi на депозитних рахунках - -</w:t>
      </w:r>
      <w:r>
        <w:rPr>
          <w:rFonts w:eastAsia="Times New Roman"/>
          <w:color w:val="000000"/>
        </w:rPr>
        <w:br/>
        <w:t>Грошовi кошти в iноземнiй валютi на поточних рахунках - -</w:t>
      </w:r>
      <w:r>
        <w:rPr>
          <w:rFonts w:eastAsia="Times New Roman"/>
          <w:color w:val="000000"/>
        </w:rPr>
        <w:br/>
        <w:t>Грошовi кошти в дорозi в нацiональнiй валютi 780 -</w:t>
      </w:r>
      <w:r>
        <w:rPr>
          <w:rFonts w:eastAsia="Times New Roman"/>
          <w:color w:val="000000"/>
        </w:rPr>
        <w:br/>
        <w:t>Всього 781 58</w:t>
      </w:r>
      <w:r>
        <w:rPr>
          <w:rFonts w:eastAsia="Times New Roman"/>
          <w:color w:val="000000"/>
        </w:rPr>
        <w:br/>
        <w:t>21. Капiтал, який було випущено</w:t>
      </w:r>
      <w:r>
        <w:rPr>
          <w:rFonts w:eastAsia="Times New Roman"/>
          <w:color w:val="000000"/>
        </w:rPr>
        <w:br/>
        <w:t xml:space="preserve">Станом на 31 грудня 2014 року статутний капiтал Товариства становить 12 680 045,15 грн., роздiлений на 1 268 004 515 простих iменних акцiй номiнальною вартiстю 0,01 грн. кожна. </w:t>
      </w:r>
      <w:r>
        <w:rPr>
          <w:rFonts w:eastAsia="Times New Roman"/>
          <w:color w:val="000000"/>
        </w:rPr>
        <w:br/>
        <w:t xml:space="preserve">На початок 2014 року статутний капiтал Товариства становив 12 680 045,15 грн., роздiлений на 1 268 004 515 простих iменних акцiй номiнальною вартiстю 0,01 грн. кожна. </w:t>
      </w:r>
      <w:r>
        <w:rPr>
          <w:rFonts w:eastAsia="Times New Roman"/>
          <w:color w:val="000000"/>
        </w:rPr>
        <w:br/>
        <w:t>22. Позики</w:t>
      </w:r>
      <w:r>
        <w:rPr>
          <w:rFonts w:eastAsia="Times New Roman"/>
          <w:color w:val="000000"/>
        </w:rPr>
        <w:br/>
        <w:t xml:space="preserve">Станом на 31 грудня 2014 року Товариство не має зобов’язань по позицi. </w:t>
      </w:r>
      <w:r>
        <w:rPr>
          <w:rFonts w:eastAsia="Times New Roman"/>
          <w:color w:val="000000"/>
        </w:rPr>
        <w:br/>
        <w:t>23. Торгiвельна та iнша кредиторська заборгованiсть</w:t>
      </w:r>
      <w:r>
        <w:rPr>
          <w:rFonts w:eastAsia="Times New Roman"/>
          <w:color w:val="000000"/>
        </w:rPr>
        <w:br/>
        <w:t>Станом на 31 грудня 2014 року торгiвельна та iнша кредиторська заборгованiсть були представленi наступним чином:</w:t>
      </w:r>
      <w:r>
        <w:rPr>
          <w:rFonts w:eastAsia="Times New Roman"/>
          <w:color w:val="000000"/>
        </w:rPr>
        <w:br/>
        <w:t>31 грудня 2014 року 31 грудня 2013 року</w:t>
      </w:r>
      <w:r>
        <w:rPr>
          <w:rFonts w:eastAsia="Times New Roman"/>
          <w:color w:val="000000"/>
        </w:rPr>
        <w:br/>
        <w:t>Заборгованiсть постачальникам за сировину, матерiали, послуги 215 219</w:t>
      </w:r>
      <w:r>
        <w:rPr>
          <w:rFonts w:eastAsia="Times New Roman"/>
          <w:color w:val="000000"/>
        </w:rPr>
        <w:br/>
        <w:t>Iнша кредиторська заборгованiсть за отримане обладнання та послуги 8405 4241</w:t>
      </w:r>
      <w:r>
        <w:rPr>
          <w:rFonts w:eastAsia="Times New Roman"/>
          <w:color w:val="000000"/>
        </w:rPr>
        <w:br/>
        <w:t>Всього 8620 4460</w:t>
      </w:r>
      <w:r>
        <w:rPr>
          <w:rFonts w:eastAsia="Times New Roman"/>
          <w:color w:val="000000"/>
        </w:rPr>
        <w:br/>
        <w:t xml:space="preserve">24. Передплати отриманi та iншi короткостроковi зобов’язання </w:t>
      </w:r>
      <w:r>
        <w:rPr>
          <w:rFonts w:eastAsia="Times New Roman"/>
          <w:color w:val="000000"/>
        </w:rPr>
        <w:br/>
        <w:t>Станом на 31 грудня 2014 року передплати отриманi та iншi короткостроковi зобов’язання були представленi наступним чином:</w:t>
      </w:r>
      <w:r>
        <w:rPr>
          <w:rFonts w:eastAsia="Times New Roman"/>
          <w:color w:val="000000"/>
        </w:rPr>
        <w:br/>
      </w:r>
      <w:r>
        <w:rPr>
          <w:rFonts w:eastAsia="Times New Roman"/>
          <w:color w:val="000000"/>
        </w:rPr>
        <w:lastRenderedPageBreak/>
        <w:t>31 грудня 2014 року 31 грудня 2013 року</w:t>
      </w:r>
      <w:r>
        <w:rPr>
          <w:rFonts w:eastAsia="Times New Roman"/>
          <w:color w:val="000000"/>
        </w:rPr>
        <w:br/>
        <w:t>Передплати отриманi - 2744</w:t>
      </w:r>
      <w:r>
        <w:rPr>
          <w:rFonts w:eastAsia="Times New Roman"/>
          <w:color w:val="000000"/>
        </w:rPr>
        <w:br/>
        <w:t>Кредиторська заборгованiсть перед бюджетом 251 121</w:t>
      </w:r>
      <w:r>
        <w:rPr>
          <w:rFonts w:eastAsia="Times New Roman"/>
          <w:color w:val="000000"/>
        </w:rPr>
        <w:br/>
        <w:t>Кредиторська заборгованiсть по страхуванню 531 250</w:t>
      </w:r>
      <w:r>
        <w:rPr>
          <w:rFonts w:eastAsia="Times New Roman"/>
          <w:color w:val="000000"/>
        </w:rPr>
        <w:br/>
        <w:t>Кредиторська заборгованiсть по заробiтнiй платi 658 377</w:t>
      </w:r>
      <w:r>
        <w:rPr>
          <w:rFonts w:eastAsia="Times New Roman"/>
          <w:color w:val="000000"/>
        </w:rPr>
        <w:br/>
        <w:t>Поточнi забезпечення 635 735</w:t>
      </w:r>
      <w:r>
        <w:rPr>
          <w:rFonts w:eastAsia="Times New Roman"/>
          <w:color w:val="000000"/>
        </w:rPr>
        <w:br/>
        <w:t>Iншi поточнi зобов’язання 16 15</w:t>
      </w:r>
      <w:r>
        <w:rPr>
          <w:rFonts w:eastAsia="Times New Roman"/>
          <w:color w:val="000000"/>
        </w:rPr>
        <w:br/>
        <w:t>Всього 2091 4242</w:t>
      </w:r>
      <w:r>
        <w:rPr>
          <w:rFonts w:eastAsia="Times New Roman"/>
          <w:color w:val="000000"/>
        </w:rPr>
        <w:br/>
        <w:t xml:space="preserve">25. Умовнi та контрактнi зобов’язання </w:t>
      </w:r>
      <w:r>
        <w:rPr>
          <w:rFonts w:eastAsia="Times New Roman"/>
          <w:color w:val="000000"/>
        </w:rPr>
        <w:br/>
        <w:t>Операцiйне середовище</w:t>
      </w:r>
      <w:r>
        <w:rPr>
          <w:rFonts w:eastAsia="Times New Roman"/>
          <w:color w:val="000000"/>
        </w:rPr>
        <w:br/>
        <w:t>Економiка України демонструє деякi особливостi, притаманнi перехiднiй економiцi, вплив яких не дозволяє нацiональнiй валютi бути лiквiдним засобом платежу за межами України. Оскiльки такi особливостi характеризуються, але не обмежуються, низьким рiвнем лiквiдностi на ринках капiталу, вiдносно високим рiвнем iнфляцiї та наявнiстю валютного контролю.</w:t>
      </w:r>
      <w:r>
        <w:rPr>
          <w:rFonts w:eastAsia="Times New Roman"/>
          <w:color w:val="000000"/>
        </w:rPr>
        <w:br/>
        <w:t>Стабiльнiсть економiки України в значнiй мiрi залежатиме вiд полiтики та дiй уряду, спрямованих на реформування адмiнiстративної та правової систем, а також економiки в цiлому. В результатi цього, дiяльностi в Українi властивi ризики, яких не iснує в умовах бiльш розвинених ринкiв.</w:t>
      </w:r>
      <w:r>
        <w:rPr>
          <w:rFonts w:eastAsia="Times New Roman"/>
          <w:color w:val="000000"/>
        </w:rPr>
        <w:br/>
        <w:t>Слiд зауважити, що українська економiка схильна до впливу ринкового спаду i зниження темпiв розвитку свiтової економiки. Внаслiдок свiтової фiнансової кризи вiдбулося зниження валового внутрiшнього продукту, нестабiльнiсть на ринках капiталу, iстотне погiршення лiквiдностi в банкiвському секторi та посилення умов кредитування всерединi України. Незважаючи на заходи, що вживаються Урядом України з метою пiдтримки банкiвського сектора i забезпечення лiквiдностi українських банкiв i компанiй, iснує невизначенiсть щодо можливостi доступу до джерел капiталу, а також вартостi капiталу для Товариства та її контрагентiв, що може вплинути на фiнансовий стан, результати дiяльностi та економiчнi перспективи Товариства.</w:t>
      </w:r>
      <w:r>
        <w:rPr>
          <w:rFonts w:eastAsia="Times New Roman"/>
          <w:color w:val="000000"/>
        </w:rPr>
        <w:br/>
        <w:t>Для забезпечення стiйкостi бiзнесу Товариства в нинiшнiх умовах, керiвництво вживає всi необхiднi заходи. Однак, несподiванi погiршення в економiцi можуть негативно впливати на результати дiяльностi Товариства i фiнансове становище. Ефект такого потенцiйно негативного впливу не може бути достовiрно оцiнений.</w:t>
      </w:r>
      <w:r>
        <w:rPr>
          <w:rFonts w:eastAsia="Times New Roman"/>
          <w:color w:val="000000"/>
        </w:rPr>
        <w:br/>
        <w:t>Оподаткування</w:t>
      </w:r>
      <w:r>
        <w:rPr>
          <w:rFonts w:eastAsia="Times New Roman"/>
          <w:color w:val="000000"/>
        </w:rPr>
        <w:br/>
        <w:t>У зв'язку з нестабiльною економiчною ситуацiєю в Українi, регiональне i загальнодержавне податкове законодавство постiйно змiнюються. Крiм того, трапляються випадки їх непослiдовного застосування, тлумачення i виконання. Недотримання законiв та нормативних актiв України може призвести до накладення серйозних штрафiв i пенi. В результатi майбутнiх податкових перевiрок можуть бути виявленi додатковi зобов'язання, якi не будуть вiдповiдати податковiй звiтностi Товариства. Такими зобов'язаннями можуть бути власне податки, а також штрафи i пеня; та їх розмiри можуть бути iстотними. У той час як Товариство вважає, що воно вiдобразило всi операцiї у вiдповiдностi з чинним податковим законодавством, iснує велика кiлькiсть податкових норм i норм валютного законодавства, в яких присутня достатня кiлькiсть спiрних моментiв, якi не завжди чiтко i однозначно сформульованi.</w:t>
      </w:r>
      <w:r>
        <w:rPr>
          <w:rFonts w:eastAsia="Times New Roman"/>
          <w:color w:val="000000"/>
        </w:rPr>
        <w:br/>
        <w:t>Юридичнi питання</w:t>
      </w:r>
      <w:r>
        <w:rPr>
          <w:rFonts w:eastAsia="Times New Roman"/>
          <w:color w:val="000000"/>
        </w:rPr>
        <w:br/>
        <w:t>В процесi звичайної дiяльностi Товариство не залучене в судовi розгляди i до нього не висуваються iншi претензiї.</w:t>
      </w:r>
      <w:r>
        <w:rPr>
          <w:rFonts w:eastAsia="Times New Roman"/>
          <w:color w:val="000000"/>
        </w:rPr>
        <w:br/>
        <w:t>26. Управлiння фiнансовими ризиками</w:t>
      </w:r>
      <w:r>
        <w:rPr>
          <w:rFonts w:eastAsia="Times New Roman"/>
          <w:color w:val="000000"/>
        </w:rPr>
        <w:br/>
        <w:t xml:space="preserve">У результатi своєї дiяльностi Компанiя пiддається впливу ряду фiнансових ризикiв, а саме кредитному ризику, ризику лiквiдностi та iншим ризикам, що є результатом фiнансових iнструментiв, якi вона має. Полiтика Компанiї по управлiнню ризиками сконцентрована на непередбачуваностi фiнансових ринкiв i нацiлена на мiнiмiзацiю потенцiйних негативних </w:t>
      </w:r>
      <w:r>
        <w:rPr>
          <w:rFonts w:eastAsia="Times New Roman"/>
          <w:color w:val="000000"/>
        </w:rPr>
        <w:lastRenderedPageBreak/>
        <w:t>наслiдкiв. Полiтики з управлiння кожним з цих ризикiв наведено нижче.</w:t>
      </w:r>
      <w:r>
        <w:rPr>
          <w:rFonts w:eastAsia="Times New Roman"/>
          <w:color w:val="000000"/>
        </w:rPr>
        <w:br/>
        <w:t>26.1. Кредитний ризик</w:t>
      </w:r>
      <w:r>
        <w:rPr>
          <w:rFonts w:eastAsia="Times New Roman"/>
          <w:color w:val="000000"/>
        </w:rPr>
        <w:br/>
        <w:t>Компанiя стикається iз кредитним ризиком, який визначається як ризик того, що контрагент не зможе погасити суму заборгованостi в повному обсязi при настаннi строку погашення. Максимальний рiвень кредитного ризику Компанiї, в цiлому, вiдображається в балансовiй вартостi фiнансових активiв, яка наведена в звiтi про фiнансовий стан. Вплив можливих взаємозалiкiв активiв i зобов'язань на зменшення потенцiйного кредитного ризику незначний. Резерви на знецiнення створюються для покриття збиткiв, якi можуть бути понесенi на звiтну дату (при їх наявностi).</w:t>
      </w:r>
      <w:r>
        <w:rPr>
          <w:rFonts w:eastAsia="Times New Roman"/>
          <w:color w:val="000000"/>
        </w:rPr>
        <w:br/>
        <w:t xml:space="preserve">Полiтика Компанiї по управлiнню кредитним ризиком спрямована на те, щоб здiйснювати господарськi операцiї з контрагентами, якi мають позитивну репутацiю та кредитну iсторiю. Окрiм того, постiйно здiйснюється монiторинг дебiторської заборгованостi. У Компанiї немає суттєвої концентрацiї кредитного ризику. </w:t>
      </w:r>
      <w:r>
        <w:rPr>
          <w:rFonts w:eastAsia="Times New Roman"/>
          <w:color w:val="000000"/>
        </w:rPr>
        <w:br/>
        <w:t>26.2. Ризик лiквiдностi</w:t>
      </w:r>
      <w:r>
        <w:rPr>
          <w:rFonts w:eastAsia="Times New Roman"/>
          <w:color w:val="000000"/>
        </w:rPr>
        <w:br/>
        <w:t>Ризик лiквiдностi – це ризик того, що Компанiя може зiткнутися з труднощами при погашеннi своїх фiнансових зобов'язань. Причиною зростання рiвня ризику лiквiдностi може стати суттєва невiдповiднiсть мiж термiнами погашення фiнансових активiв та фiнансових зобов'язань у випадку коли, термiни погашення фiнансових активiв перевищують термiни погашення фiнансових зобов'язань.</w:t>
      </w:r>
      <w:r>
        <w:rPr>
          <w:rFonts w:eastAsia="Times New Roman"/>
          <w:color w:val="000000"/>
        </w:rPr>
        <w:br/>
        <w:t>26.3. Ризик управлiння капiталом</w:t>
      </w:r>
      <w:r>
        <w:rPr>
          <w:rFonts w:eastAsia="Times New Roman"/>
          <w:color w:val="000000"/>
        </w:rPr>
        <w:br/>
        <w:t>Основна мета Компанiї в управлiннi капiталом – забезпечити безперервнiсть дiяльностi Компанiї з метою максимiзацiї прибутку, а також для фiнансування операцiйних i капiтальних витрат i пiдтримання стратегiї розвитку Компанiї.</w:t>
      </w:r>
      <w:r>
        <w:rPr>
          <w:rFonts w:eastAsia="Times New Roman"/>
          <w:color w:val="000000"/>
        </w:rPr>
        <w:br/>
        <w:t>Компанiя здiйснює управлiння структурою капiталу та коригує її вiдповiдно до змiн в економiчному середовищi, тенденцiях на ринку та стратегiї розвитку. Станом на 31 грудня 2014р. не було змiн до мети чи полiтики Компанiї з управлiння капiталом.</w:t>
      </w:r>
      <w:r>
        <w:rPr>
          <w:rFonts w:eastAsia="Times New Roman"/>
          <w:color w:val="000000"/>
        </w:rPr>
        <w:br/>
        <w:t>27. Подiї пiсля дати балансу</w:t>
      </w:r>
      <w:r>
        <w:rPr>
          <w:rFonts w:eastAsia="Times New Roman"/>
          <w:color w:val="000000"/>
        </w:rPr>
        <w:br/>
        <w:t>Пiсля дати звiту про фiнансовий стан i до дати затвердження фiнансової звiтностi до випуску не вiдбулося суттєвих подiй якi б надавали додаткову iнформацiю щодо фiнансової звiтностi Компанiї, та якi необхiдно було б вiдображати у фiнансовiй звiтностi.</w:t>
      </w:r>
      <w:r>
        <w:rPr>
          <w:rFonts w:eastAsia="Times New Roman"/>
          <w:color w:val="000000"/>
        </w:rPr>
        <w:br/>
        <w:t>28. Фiнансова звiтнiсть у форматi передбаченому наказом мiнiстерства фiнансiв України вiд 07.02.2013 № 73</w:t>
      </w:r>
      <w:r>
        <w:rPr>
          <w:rFonts w:eastAsia="Times New Roman"/>
          <w:color w:val="000000"/>
        </w:rPr>
        <w:br/>
        <w:t>Фiнансова звiтнiсть у форматi передбаченому наказом мiнiстерства фiнансiв України вiд 07.02.2013 № 73 у складi: балансу (звiту про фiнансовий стан), звiту про фiнансовi результати (звiту про сукупний дохiд), звiту про рух грошових коштiв та звiту про власний капiтал.</w:t>
      </w:r>
      <w:r>
        <w:rPr>
          <w:rFonts w:eastAsia="Times New Roman"/>
          <w:color w:val="000000"/>
        </w:rPr>
        <w:br/>
        <w:t>29. Затвердження фiнансової звiтностi</w:t>
      </w:r>
      <w:r>
        <w:rPr>
          <w:rFonts w:eastAsia="Times New Roman"/>
          <w:color w:val="000000"/>
        </w:rPr>
        <w:br/>
        <w:t>Ця фiнансова звiтнiсть за 2014 рiк, була затверджена до надання керiвництвом Товариства 20 лютого 2015 року.</w:t>
      </w:r>
      <w:r>
        <w:rPr>
          <w:rFonts w:eastAsia="Times New Roman"/>
          <w:color w:val="000000"/>
        </w:rPr>
        <w:br/>
      </w:r>
      <w:r>
        <w:rPr>
          <w:rFonts w:eastAsia="Times New Roman"/>
          <w:color w:val="000000"/>
        </w:rPr>
        <w:br/>
        <w:t>Директор _______________________ Лакатош I.В.</w:t>
      </w:r>
      <w:r>
        <w:rPr>
          <w:rFonts w:eastAsia="Times New Roman"/>
          <w:color w:val="000000"/>
        </w:rPr>
        <w:br/>
      </w:r>
      <w:r>
        <w:rPr>
          <w:rFonts w:eastAsia="Times New Roman"/>
          <w:color w:val="000000"/>
        </w:rPr>
        <w:br/>
        <w:t>Головний бухгалтер _______________ Боршош Н.I.</w:t>
      </w:r>
    </w:p>
    <w:p w:rsidR="002C3319" w:rsidRDefault="002C3319" w:rsidP="002C3319">
      <w:pPr>
        <w:pStyle w:val="4"/>
        <w:rPr>
          <w:color w:val="000000"/>
        </w:rPr>
      </w:pPr>
      <w:r>
        <w:rPr>
          <w:color w:val="000000"/>
        </w:rPr>
        <w:t>Продовження тексту приміток</w:t>
      </w:r>
    </w:p>
    <w:p w:rsidR="002C3319" w:rsidRDefault="002C3319" w:rsidP="002C3319">
      <w:pPr>
        <w:rPr>
          <w:rFonts w:eastAsia="Times New Roman"/>
          <w:color w:val="000000"/>
        </w:rPr>
      </w:pPr>
      <w:r>
        <w:rPr>
          <w:rFonts w:eastAsia="Times New Roman"/>
          <w:color w:val="000000"/>
        </w:rPr>
        <w:t>д/н</w:t>
      </w:r>
    </w:p>
    <w:p w:rsidR="002C3319" w:rsidRDefault="002C3319" w:rsidP="002C3319">
      <w:pPr>
        <w:pStyle w:val="4"/>
        <w:rPr>
          <w:color w:val="000000"/>
        </w:rPr>
      </w:pPr>
      <w:r>
        <w:rPr>
          <w:color w:val="000000"/>
        </w:rPr>
        <w:t>Продовження тексту приміток</w:t>
      </w:r>
    </w:p>
    <w:p w:rsidR="002C3319" w:rsidRDefault="002C3319" w:rsidP="002C3319">
      <w:pPr>
        <w:rPr>
          <w:rFonts w:eastAsia="Times New Roman"/>
          <w:color w:val="000000"/>
        </w:rPr>
      </w:pPr>
      <w:r>
        <w:rPr>
          <w:rFonts w:eastAsia="Times New Roman"/>
          <w:color w:val="000000"/>
        </w:rPr>
        <w:t>д/н</w:t>
      </w:r>
    </w:p>
    <w:p w:rsidR="002C3319" w:rsidRDefault="002C3319" w:rsidP="002C3319">
      <w:pPr>
        <w:pStyle w:val="4"/>
        <w:rPr>
          <w:color w:val="000000"/>
        </w:rPr>
      </w:pPr>
      <w:r>
        <w:rPr>
          <w:color w:val="000000"/>
        </w:rPr>
        <w:t>Продовження тексту приміток</w:t>
      </w:r>
    </w:p>
    <w:p w:rsidR="002C3319" w:rsidRDefault="002C3319" w:rsidP="002C3319">
      <w:pPr>
        <w:rPr>
          <w:rFonts w:eastAsia="Times New Roman"/>
          <w:color w:val="000000"/>
        </w:rPr>
      </w:pPr>
      <w:r>
        <w:rPr>
          <w:rFonts w:eastAsia="Times New Roman"/>
          <w:color w:val="000000"/>
        </w:rPr>
        <w:t>д/н</w:t>
      </w:r>
    </w:p>
    <w:p w:rsidR="00DF5127" w:rsidRDefault="00DF5127"/>
    <w:sectPr w:rsidR="00DF5127" w:rsidSect="00DF5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C3319"/>
    <w:rsid w:val="002C3319"/>
    <w:rsid w:val="003227FB"/>
    <w:rsid w:val="00A73A1B"/>
    <w:rsid w:val="00DF5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19"/>
    <w:rPr>
      <w:rFonts w:eastAsiaTheme="minorEastAsia"/>
      <w:sz w:val="24"/>
      <w:szCs w:val="24"/>
    </w:rPr>
  </w:style>
  <w:style w:type="paragraph" w:styleId="1">
    <w:name w:val="heading 1"/>
    <w:basedOn w:val="a"/>
    <w:next w:val="a"/>
    <w:link w:val="10"/>
    <w:qFormat/>
    <w:rsid w:val="003227FB"/>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uiPriority w:val="9"/>
    <w:qFormat/>
    <w:rsid w:val="003227FB"/>
    <w:pPr>
      <w:keepNext/>
      <w:jc w:val="center"/>
      <w:outlineLvl w:val="2"/>
    </w:pPr>
    <w:rPr>
      <w:rFonts w:eastAsia="Times New Roman"/>
      <w:szCs w:val="20"/>
    </w:rPr>
  </w:style>
  <w:style w:type="paragraph" w:styleId="4">
    <w:name w:val="heading 4"/>
    <w:basedOn w:val="a"/>
    <w:next w:val="a"/>
    <w:link w:val="40"/>
    <w:uiPriority w:val="9"/>
    <w:qFormat/>
    <w:rsid w:val="003227FB"/>
    <w:pPr>
      <w:keepNext/>
      <w:tabs>
        <w:tab w:val="left" w:pos="284"/>
      </w:tabs>
      <w:jc w:val="both"/>
      <w:outlineLvl w:val="3"/>
    </w:pPr>
    <w:rPr>
      <w:rFonts w:eastAsia="Times New Roman"/>
      <w:szCs w:val="20"/>
      <w:lang w:val="uk-UA"/>
    </w:rPr>
  </w:style>
  <w:style w:type="paragraph" w:styleId="5">
    <w:name w:val="heading 5"/>
    <w:basedOn w:val="a"/>
    <w:next w:val="a"/>
    <w:link w:val="50"/>
    <w:qFormat/>
    <w:rsid w:val="003227FB"/>
    <w:pPr>
      <w:keepNext/>
      <w:ind w:right="-1333" w:firstLine="284"/>
      <w:jc w:val="both"/>
      <w:outlineLvl w:val="4"/>
    </w:pPr>
    <w:rPr>
      <w:rFonts w:eastAsia="Times New Roman"/>
      <w:szCs w:val="20"/>
      <w:lang w:val="uk-UA"/>
    </w:rPr>
  </w:style>
  <w:style w:type="paragraph" w:styleId="6">
    <w:name w:val="heading 6"/>
    <w:basedOn w:val="a"/>
    <w:next w:val="a"/>
    <w:link w:val="60"/>
    <w:qFormat/>
    <w:rsid w:val="003227FB"/>
    <w:pPr>
      <w:keepNext/>
      <w:tabs>
        <w:tab w:val="left" w:pos="7088"/>
      </w:tabs>
      <w:ind w:left="993"/>
      <w:jc w:val="both"/>
      <w:outlineLvl w:val="5"/>
    </w:pPr>
    <w:rPr>
      <w:rFonts w:eastAsia="Times New Roman"/>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27FB"/>
    <w:rPr>
      <w:rFonts w:ascii="Arial" w:hAnsi="Arial" w:cs="Arial"/>
      <w:b/>
      <w:bCs/>
      <w:kern w:val="32"/>
      <w:sz w:val="32"/>
      <w:szCs w:val="32"/>
    </w:rPr>
  </w:style>
  <w:style w:type="character" w:customStyle="1" w:styleId="30">
    <w:name w:val="Заголовок 3 Знак"/>
    <w:basedOn w:val="a0"/>
    <w:link w:val="3"/>
    <w:uiPriority w:val="9"/>
    <w:rsid w:val="003227FB"/>
    <w:rPr>
      <w:sz w:val="24"/>
    </w:rPr>
  </w:style>
  <w:style w:type="character" w:customStyle="1" w:styleId="40">
    <w:name w:val="Заголовок 4 Знак"/>
    <w:basedOn w:val="a0"/>
    <w:link w:val="4"/>
    <w:uiPriority w:val="9"/>
    <w:rsid w:val="003227FB"/>
    <w:rPr>
      <w:sz w:val="24"/>
      <w:lang w:val="uk-UA"/>
    </w:rPr>
  </w:style>
  <w:style w:type="character" w:customStyle="1" w:styleId="50">
    <w:name w:val="Заголовок 5 Знак"/>
    <w:basedOn w:val="a0"/>
    <w:link w:val="5"/>
    <w:rsid w:val="003227FB"/>
    <w:rPr>
      <w:sz w:val="24"/>
      <w:lang w:val="uk-UA"/>
    </w:rPr>
  </w:style>
  <w:style w:type="character" w:customStyle="1" w:styleId="60">
    <w:name w:val="Заголовок 6 Знак"/>
    <w:basedOn w:val="a0"/>
    <w:link w:val="6"/>
    <w:rsid w:val="003227FB"/>
    <w:rPr>
      <w:sz w:val="24"/>
      <w:lang w:val="uk-UA"/>
    </w:rPr>
  </w:style>
  <w:style w:type="paragraph" w:styleId="a3">
    <w:name w:val="Title"/>
    <w:basedOn w:val="a"/>
    <w:link w:val="a4"/>
    <w:qFormat/>
    <w:rsid w:val="003227FB"/>
    <w:pPr>
      <w:jc w:val="center"/>
    </w:pPr>
    <w:rPr>
      <w:rFonts w:eastAsia="Times New Roman"/>
      <w:szCs w:val="20"/>
    </w:rPr>
  </w:style>
  <w:style w:type="character" w:customStyle="1" w:styleId="a4">
    <w:name w:val="Название Знак"/>
    <w:basedOn w:val="a0"/>
    <w:link w:val="a3"/>
    <w:rsid w:val="003227FB"/>
    <w:rPr>
      <w:sz w:val="24"/>
    </w:rPr>
  </w:style>
  <w:style w:type="paragraph" w:styleId="a5">
    <w:name w:val="Normal (Web)"/>
    <w:basedOn w:val="a"/>
    <w:uiPriority w:val="99"/>
    <w:semiHidden/>
    <w:unhideWhenUsed/>
    <w:rsid w:val="002C3319"/>
    <w:pPr>
      <w:spacing w:before="100" w:beforeAutospacing="1" w:after="100" w:afterAutospacing="1"/>
    </w:pPr>
  </w:style>
  <w:style w:type="paragraph" w:customStyle="1" w:styleId="justify">
    <w:name w:val="justify"/>
    <w:basedOn w:val="a"/>
    <w:uiPriority w:val="99"/>
    <w:semiHidden/>
    <w:rsid w:val="002C3319"/>
    <w:pPr>
      <w:spacing w:before="100" w:beforeAutospacing="1" w:after="100" w:afterAutospacing="1"/>
      <w:jc w:val="both"/>
    </w:pPr>
  </w:style>
  <w:style w:type="paragraph" w:customStyle="1" w:styleId="left">
    <w:name w:val="left"/>
    <w:basedOn w:val="a"/>
    <w:uiPriority w:val="99"/>
    <w:semiHidden/>
    <w:rsid w:val="002C3319"/>
    <w:pPr>
      <w:spacing w:before="100" w:beforeAutospacing="1" w:after="100" w:afterAutospacing="1"/>
    </w:pPr>
  </w:style>
  <w:style w:type="paragraph" w:customStyle="1" w:styleId="right">
    <w:name w:val="right"/>
    <w:basedOn w:val="a"/>
    <w:uiPriority w:val="99"/>
    <w:semiHidden/>
    <w:rsid w:val="002C3319"/>
    <w:pPr>
      <w:spacing w:before="100" w:beforeAutospacing="1" w:after="100" w:afterAutospacing="1"/>
      <w:jc w:val="right"/>
    </w:pPr>
  </w:style>
  <w:style w:type="paragraph" w:customStyle="1" w:styleId="center">
    <w:name w:val="center"/>
    <w:basedOn w:val="a"/>
    <w:uiPriority w:val="99"/>
    <w:semiHidden/>
    <w:rsid w:val="002C3319"/>
    <w:pPr>
      <w:spacing w:before="100" w:beforeAutospacing="1" w:after="100" w:afterAutospacing="1"/>
      <w:jc w:val="center"/>
    </w:pPr>
  </w:style>
  <w:style w:type="paragraph" w:customStyle="1" w:styleId="bold">
    <w:name w:val="bold"/>
    <w:basedOn w:val="a"/>
    <w:uiPriority w:val="99"/>
    <w:semiHidden/>
    <w:rsid w:val="002C3319"/>
    <w:pPr>
      <w:spacing w:before="100" w:beforeAutospacing="1" w:after="100" w:afterAutospacing="1"/>
    </w:pPr>
    <w:rPr>
      <w:b/>
      <w:bCs/>
    </w:rPr>
  </w:style>
  <w:style w:type="paragraph" w:customStyle="1" w:styleId="brdnone">
    <w:name w:val="brdnone"/>
    <w:basedOn w:val="a"/>
    <w:uiPriority w:val="99"/>
    <w:semiHidden/>
    <w:rsid w:val="002C3319"/>
    <w:pPr>
      <w:spacing w:before="100" w:beforeAutospacing="1" w:after="100" w:afterAutospacing="1"/>
    </w:pPr>
  </w:style>
  <w:style w:type="paragraph" w:customStyle="1" w:styleId="brdbtm">
    <w:name w:val="brdbtm"/>
    <w:basedOn w:val="a"/>
    <w:uiPriority w:val="99"/>
    <w:semiHidden/>
    <w:rsid w:val="002C3319"/>
    <w:pPr>
      <w:pBdr>
        <w:bottom w:val="single" w:sz="6" w:space="0" w:color="000000"/>
      </w:pBdr>
      <w:spacing w:before="100" w:beforeAutospacing="1" w:after="100" w:afterAutospacing="1"/>
    </w:pPr>
  </w:style>
  <w:style w:type="paragraph" w:customStyle="1" w:styleId="brdtop">
    <w:name w:val="brdtop"/>
    <w:basedOn w:val="a"/>
    <w:uiPriority w:val="99"/>
    <w:semiHidden/>
    <w:rsid w:val="002C3319"/>
    <w:pPr>
      <w:pBdr>
        <w:top w:val="single" w:sz="6" w:space="0" w:color="000000"/>
      </w:pBdr>
      <w:spacing w:before="100" w:beforeAutospacing="1" w:after="100" w:afterAutospacing="1"/>
    </w:pPr>
  </w:style>
  <w:style w:type="paragraph" w:customStyle="1" w:styleId="brdall">
    <w:name w:val="brdall"/>
    <w:basedOn w:val="a"/>
    <w:uiPriority w:val="99"/>
    <w:semiHidden/>
    <w:rsid w:val="002C3319"/>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uiPriority w:val="99"/>
    <w:semiHidden/>
    <w:rsid w:val="002C3319"/>
    <w:pPr>
      <w:spacing w:before="100" w:beforeAutospacing="1" w:after="100" w:afterAutospacing="1"/>
    </w:pPr>
    <w:rPr>
      <w:sz w:val="20"/>
      <w:szCs w:val="20"/>
    </w:rPr>
  </w:style>
  <w:style w:type="paragraph" w:customStyle="1" w:styleId="pagebreak">
    <w:name w:val="pagebreak"/>
    <w:basedOn w:val="a"/>
    <w:uiPriority w:val="99"/>
    <w:semiHidden/>
    <w:rsid w:val="002C3319"/>
    <w:pPr>
      <w:pageBreakBefore/>
      <w:spacing w:before="100" w:beforeAutospacing="1" w:after="100" w:afterAutospacing="1"/>
    </w:pPr>
  </w:style>
  <w:style w:type="character" w:customStyle="1" w:styleId="small-text1">
    <w:name w:val="small-text1"/>
    <w:basedOn w:val="a0"/>
    <w:rsid w:val="002C3319"/>
    <w:rPr>
      <w:sz w:val="20"/>
      <w:szCs w:val="20"/>
    </w:rPr>
  </w:style>
  <w:style w:type="character" w:styleId="a6">
    <w:name w:val="Strong"/>
    <w:basedOn w:val="a0"/>
    <w:uiPriority w:val="22"/>
    <w:qFormat/>
    <w:rsid w:val="002C3319"/>
    <w:rPr>
      <w:b/>
      <w:bCs/>
    </w:rPr>
  </w:style>
</w:styles>
</file>

<file path=word/webSettings.xml><?xml version="1.0" encoding="utf-8"?>
<w:webSettings xmlns:r="http://schemas.openxmlformats.org/officeDocument/2006/relationships" xmlns:w="http://schemas.openxmlformats.org/wordprocessingml/2006/main">
  <w:divs>
    <w:div w:id="8869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21545</Words>
  <Characters>122807</Characters>
  <Application>Microsoft Office Word</Application>
  <DocSecurity>0</DocSecurity>
  <Lines>1023</Lines>
  <Paragraphs>288</Paragraphs>
  <ScaleCrop>false</ScaleCrop>
  <Company>Reanimator Extreme Edition</Company>
  <LinksUpToDate>false</LinksUpToDate>
  <CharactersWithSpaces>144064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2015-05-06T12:33:00Z</cp:lastPrinted>
  <dcterms:created xsi:type="dcterms:W3CDTF">2015-05-06T12:33:00Z</dcterms:created>
  <dcterms:modified xsi:type="dcterms:W3CDTF">2015-05-06T12:34:00Z</dcterms:modified>
</cp:coreProperties>
</file>